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危机与制度变迁</w:t>
      </w:r>
      <w:r>
        <w:rPr>
          <w:rFonts w:ascii="Google Sans" w:hAnsi="Google Sans" w:eastAsia="Google Sans" w:cs="Google Sans"/>
          <w:rtl w:val="0"/>
          <w:lang w:val="zh-CN"/>
        </w:rPr>
        <w:t xml:space="preserve"> </w:t>
      </w:r>
      <w:r>
        <w:rPr>
          <w:rFonts w:ascii="Google Sans" w:hAnsi="Google Sans" w:eastAsia="Google Sans" w:cs="Google Sans"/>
        </w:rPr>
      </w:r>
    </w:p>
    <w:p>
      <w:pPr>
        <w:pBdr/>
        <w:spacing/>
        <w:ind/>
        <w:rPr/>
      </w:pPr>
      <w:r>
        <w:rPr>
          <w:rtl w:val="0"/>
        </w:rPr>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 引言与理论框架的厘清</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旨在对“大灾难往往孕育文明飞跃”这一经验观察进行系统性的、基于社会科学理论的验证与修正。分析结论显示，大规模灾难确实是打破旧秩序的必要外生冲击，能够为制度创新开启“关键转折点”，但灾难本身绝非进步的决定性力量。文明的走向，最终取决于原有的制度基础、知识积累以及人类在危机后有意识的制度选择和政治行动。</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1.1. 核心理论：旧均衡、外生冲击与关键转折点</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社会科学，尤其是比较历史制度主义，通常使用“均衡”和“路径依赖”等概念来描述社会结构的稳定性和变迁过程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1.1.1. 既有均衡与制度僵化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在政治经济学中，一个“均衡”（Equilibrium）指一套相对稳定的、自我维持的制度格局，尽管这套制度可能效率低下、分配不公（例如殖民体系、封建农奴制）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。由于既有制度具有自我强化的机制，改变它们的成本往往极高，导致社会容易陷入“路径依赖”（Path Dependence），即一旦选择了某种制度安排，它就会通过塑造参与者的激励、世界观和资源分配，在长期内持续存在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1.1.2. 关键转折点的触发</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“关键转折点”（Critical Juncture）被定义为“颠覆现有政治和经济平衡的重大（外生）事件”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。灾难（如战争、瘟疫、经济崩盘）充当了这种“外生冲击”（Shock）的角色，它通过创造“裂痕、冲击或危机”来瓦解旧的稳定结构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。在危机时期，旧秩序的合法性和强制力被削弱，不确定性增加，从而为政治行动和选择提供了一个决定性的窗口，允许社会走向新的发展路径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1.1.3. 冲击与成果的分离</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分析表明，外生冲击（如黑死病）本身不会自动带来正向结果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。冲击只负责“打碎”和“清盘”；而新的制度安排、政治结构和技术扩散能否实现，取决于冲击发生时的“先决条件”（Antecedent Conditions）以及危机过后，领导者和社会群体选择设立何种“遗产”——一种持久的、自我强化的制度继承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。因此，进步并非必然，而是高度依赖于特定背景下的政治和技术准备。</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 黑死病（14世纪）：人口冲击与经济再平衡</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黑死病（约1347–1352年）是人类历史上最致命的瘟疫之一，在欧洲造成了约四分之一到二分之一的人口死亡，估计死亡人数达2500万至5000万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。这一极端的人口损失为制度和经济结构带来了剧烈的冲击，是理解大灾难如何影响社会均衡的典型案例。</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 劳动力稀缺引发的经济结构剧变</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人口锐减导致劳动力供应突然大幅下降。在农业和手工业领域，这意味着劳动者的议价能力骤然增强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。历史记录显示，由于严重的工人短缺，贵族和教士阶层被迫支付“三倍工资”，甚至面临亲自耕作的窘境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经济数据佐证了这一结构性变化：在意大利佛罗伦萨，1348年至1350年间，非熟练工人的实际工资飙升了87%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。尽管瘟疫初期经济活动受到严重干扰，导致人均国内生产总值（GDP）在短期内有所下降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，但长期的影响是劳动者在分配中的份额大幅增加。</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 西欧农奴制的瓦解与不平等的降低</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黑死病的长期后果之一，是加速了西欧农奴制度的瓦解，促使农民从被束缚的身份转向契约租佃或自由工人 </w:t>
      </w:r>
      <w:r>
        <w:rPr>
          <w:rFonts w:ascii="Google Sans Text" w:hAnsi="Google Sans Text" w:eastAsia="Google Sans Text" w:cs="Google Sans Text"/>
          <w:sz w:val="24"/>
          <w:szCs w:val="24"/>
          <w:vertAlign w:val="superscript"/>
          <w:rtl w:val="0"/>
        </w:rPr>
        <w:t xml:space="preserve">10</w:t>
      </w:r>
      <w:r>
        <w:rPr>
          <w:rFonts w:ascii="Google Sans Text" w:hAnsi="Google Sans Text" w:eastAsia="Google Sans Text" w:cs="Google Sans Text"/>
          <w:rtl w:val="0"/>
        </w:rPr>
        <w:t xml:space="preserve">。这场灾难对社会产生了深远的间接影响，包括与欧洲相对于其他地区（尤其是亚洲和中东）的增长（大分流）有关，以及西欧经济地理向西北的转移 </w:t>
      </w:r>
      <w:r>
        <w:rPr>
          <w:rFonts w:ascii="Google Sans Text" w:hAnsi="Google Sans Text" w:eastAsia="Google Sans Text" w:cs="Google Sans Text"/>
          <w:sz w:val="24"/>
          <w:szCs w:val="24"/>
          <w:vertAlign w:val="superscript"/>
          <w:rtl w:val="0"/>
        </w:rPr>
        <w:t xml:space="preserve">10</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经济史研究的共识是，黑死病通过大规模死亡和资本毁灭的方式，导致了经济不平等的显著降低 </w:t>
      </w:r>
      <w:r>
        <w:rPr>
          <w:rFonts w:ascii="Google Sans Text" w:hAnsi="Google Sans Text" w:eastAsia="Google Sans Text" w:cs="Google Sans Text"/>
          <w:sz w:val="24"/>
          <w:szCs w:val="24"/>
          <w:vertAlign w:val="superscript"/>
          <w:rtl w:val="0"/>
        </w:rPr>
        <w:t xml:space="preserve">12</w:t>
      </w:r>
      <w:r>
        <w:rPr>
          <w:rFonts w:ascii="Google Sans Text" w:hAnsi="Google Sans Text" w:eastAsia="Google Sans Text" w:cs="Google Sans Text"/>
          <w:rtl w:val="0"/>
        </w:rPr>
        <w:t xml:space="preserve">。然而，这种再分配的成果并非在整个欧洲均匀实现。其分配结果受到灾难爆发时当地“制度框架”的制约 </w:t>
      </w:r>
      <w:r>
        <w:rPr>
          <w:rFonts w:ascii="Google Sans Text" w:hAnsi="Google Sans Text" w:eastAsia="Google Sans Text" w:cs="Google Sans Text"/>
          <w:sz w:val="24"/>
          <w:szCs w:val="24"/>
          <w:vertAlign w:val="superscript"/>
          <w:rtl w:val="0"/>
        </w:rPr>
        <w:t xml:space="preserve">13</w:t>
      </w:r>
      <w:r>
        <w:rPr>
          <w:rFonts w:ascii="Google Sans Text" w:hAnsi="Google Sans Text" w:eastAsia="Google Sans Text" w:cs="Google Sans Text"/>
          <w:rtl w:val="0"/>
        </w:rPr>
        <w:t xml:space="preserve">。在西欧，由于农奴制早已出现裂痕，劳动力冲击推动了更自由的劳动关系；而在其他试图通过法律（如英国的《劳工法》）或暴力手段压制工资上涨的地区，制度的僵化导致了不同的结果。</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2.3. 文艺复兴的背景条件：财富的重新分配与文化赞助</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文艺复兴并非黑死病自动催生的结果，而是多种长期因素汇合的产物。这些先决条件包括意大利城邦（如威尼斯、热那亚）在瘟疫前就已建立的广泛贸易网络、成熟的银行业、以及对古典文本的保存和再发现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黑死病的主要贡献是改变了社会的资源结构和赞助模式 </w:t>
      </w:r>
      <w:r>
        <w:rPr>
          <w:rFonts w:ascii="Google Sans Text" w:hAnsi="Google Sans Text" w:eastAsia="Google Sans Text" w:cs="Google Sans Text"/>
          <w:sz w:val="24"/>
          <w:szCs w:val="24"/>
          <w:vertAlign w:val="superscript"/>
          <w:rtl w:val="0"/>
        </w:rPr>
        <w:t xml:space="preserve">16</w:t>
      </w:r>
      <w:r>
        <w:rPr>
          <w:rFonts w:ascii="Google Sans Text" w:hAnsi="Google Sans Text" w:eastAsia="Google Sans Text" w:cs="Google Sans Text"/>
          <w:rtl w:val="0"/>
        </w:rPr>
        <w:t xml:space="preserve">。瘟疫导致的人口稀缺和财富重新分配，使幸存者拥有更高的平均资源，并催生了一个富有的新商人阶层。这个阶层拥有更大的经济能力，开始大规模赞助艺术、教育和城市生活。瘟疫也带来了死亡主题的艺术繁荣（如“死亡的提醒”主题，</w:t>
      </w:r>
      <w:r>
        <w:rPr>
          <w:rFonts w:ascii="Google Sans Text" w:hAnsi="Google Sans Text" w:eastAsia="Google Sans Text" w:cs="Google Sans Text"/>
          <w:i/>
          <w:iCs/>
          <w:rtl w:val="0"/>
        </w:rPr>
        <w:t xml:space="preserve">memento mori</w:t>
      </w:r>
      <w:r>
        <w:rPr>
          <w:rFonts w:ascii="Google Sans Text" w:hAnsi="Google Sans Text" w:eastAsia="Google Sans Text" w:cs="Google Sans Text"/>
          <w:rtl w:val="0"/>
        </w:rPr>
        <w:t xml:space="preserve">） </w:t>
      </w:r>
      <w:r>
        <w:rPr>
          <w:rFonts w:ascii="Google Sans Text" w:hAnsi="Google Sans Text" w:eastAsia="Google Sans Text" w:cs="Google Sans Text"/>
          <w:sz w:val="24"/>
          <w:szCs w:val="24"/>
          <w:vertAlign w:val="superscript"/>
          <w:rtl w:val="0"/>
        </w:rPr>
        <w:t xml:space="preserve">16</w:t>
      </w:r>
      <w:r>
        <w:rPr>
          <w:rFonts w:ascii="Google Sans Text" w:hAnsi="Google Sans Text" w:eastAsia="Google Sans Text" w:cs="Google Sans Text"/>
          <w:rtl w:val="0"/>
        </w:rPr>
        <w:t xml:space="preserve">，这与对古典学问复兴和世俗个体主义的关注共同构成了文艺复兴的文化土壤 </w:t>
      </w:r>
      <w:r>
        <w:rPr>
          <w:rFonts w:ascii="Google Sans Text" w:hAnsi="Google Sans Text" w:eastAsia="Google Sans Text" w:cs="Google Sans Text"/>
          <w:sz w:val="24"/>
          <w:szCs w:val="24"/>
          <w:vertAlign w:val="superscript"/>
          <w:rtl w:val="0"/>
        </w:rPr>
        <w:t xml:space="preserve">14</w:t>
      </w:r>
      <w:r>
        <w:rPr>
          <w:rFonts w:ascii="Google Sans Text" w:hAnsi="Google Sans Text" w:eastAsia="Google Sans Text" w:cs="Google Sans Text"/>
          <w:rtl w:val="0"/>
        </w:rPr>
        <w:t xml:space="preserve">。因此，黑死病提供了经济基础和心理背景，加速了早已酝酿中的文化运动，但该运动的本质和方向仍由古典知识和商业阶层决定。</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III. 两次世界大战与全球经济秩序的重建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如果说黑死病是通过“破坏经济因素禀赋”来实现制度变迁，那么两次世界大战则为“通过政治权力设定新的全球制度路径”提供了关键转折点。</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3.1. 第一次世界大战：旧均衡的瓦解</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第一次世界大战标志着欧洲在全球经济和金融霸权方面的相对衰落，而美国崛起为主要债权国和黄金储备国。然而，一战后的国际货币体系（试图恢复旧式的金本位）极不稳定，最终在大萧条中崩溃。这一时期虽然提升了美元的重要性，但尚未形成一个稳定、制度化的全球金融秩序。</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3.2. 第二次世界大战：制度化美元金融体系的关键转折</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第二次世界大战及其导致的系统性破坏，为建立一个全新的国际货币和金融体系创造了必要的政治条件 </w:t>
      </w:r>
      <w:r>
        <w:rPr>
          <w:rFonts w:ascii="Google Sans Text" w:hAnsi="Google Sans Text" w:eastAsia="Google Sans Text" w:cs="Google Sans Text"/>
          <w:sz w:val="24"/>
          <w:szCs w:val="24"/>
          <w:vertAlign w:val="superscript"/>
          <w:rtl w:val="0"/>
        </w:rPr>
        <w:t xml:space="preserve">18</w:t>
      </w:r>
      <w:r>
        <w:rPr>
          <w:rFonts w:ascii="Google Sans Text" w:hAnsi="Google Sans Text" w:eastAsia="Google Sans Text" w:cs="Google Sans Text"/>
          <w:rtl w:val="0"/>
        </w:rPr>
        <w:t xml:space="preserve">。1944年7月1日至22日，在战争仍在进行之时，来自44个盟国的大约730名代表在新罕布什尔州的布雷顿森林召开了联合国货币金融会议 </w:t>
      </w:r>
      <w:r>
        <w:rPr>
          <w:rFonts w:ascii="Google Sans Text" w:hAnsi="Google Sans Text" w:eastAsia="Google Sans Text" w:cs="Google Sans Text"/>
          <w:sz w:val="24"/>
          <w:szCs w:val="24"/>
          <w:vertAlign w:val="superscript"/>
          <w:rtl w:val="0"/>
        </w:rPr>
        <w:t xml:space="preserve">18</w:t>
      </w:r>
      <w:r>
        <w:rPr>
          <w:rFonts w:ascii="Google Sans Text" w:hAnsi="Google Sans Text" w:eastAsia="Google Sans Text" w:cs="Google Sans Text"/>
          <w:rtl w:val="0"/>
        </w:rPr>
        <w:t xml:space="preserve">。这次会议是历史上首次通过完全协商方式构建国际货币秩序的典范 </w:t>
      </w:r>
      <w:r>
        <w:rPr>
          <w:rFonts w:ascii="Google Sans Text" w:hAnsi="Google Sans Text" w:eastAsia="Google Sans Text" w:cs="Google Sans Text"/>
          <w:sz w:val="24"/>
          <w:szCs w:val="24"/>
          <w:vertAlign w:val="superscript"/>
          <w:rtl w:val="0"/>
        </w:rPr>
        <w:t xml:space="preserve">19</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3.2.1. 布雷顿森林体系的创建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这次会议建立了两个关键的政府间机构，作为世界经济和金融秩序的支柱：国际货币基金组织（IMF）和国际复兴开发银行（IBRD，即世界银行集团的一部分） </w:t>
      </w:r>
      <w:r>
        <w:rPr>
          <w:rFonts w:ascii="Google Sans Text" w:hAnsi="Google Sans Text" w:eastAsia="Google Sans Text" w:cs="Google Sans Text"/>
          <w:sz w:val="24"/>
          <w:szCs w:val="24"/>
          <w:vertAlign w:val="superscript"/>
          <w:rtl w:val="0"/>
        </w:rPr>
        <w:t xml:space="preserve">20</w:t>
      </w:r>
      <w:r>
        <w:rPr>
          <w:rFonts w:ascii="Google Sans Text" w:hAnsi="Google Sans Text" w:eastAsia="Google Sans Text" w:cs="Google Sans Text"/>
          <w:rtl w:val="0"/>
        </w:rPr>
        <w:t xml:space="preserve">。IMF的使命是监督国际货币体系，并通过向出现国际收支逆差的国家提供储备货币借款，促进货币合作并保障金融稳定 </w:t>
      </w:r>
      <w:r>
        <w:rPr>
          <w:rFonts w:ascii="Google Sans Text" w:hAnsi="Google Sans Text" w:eastAsia="Google Sans Text" w:cs="Google Sans Text"/>
          <w:sz w:val="24"/>
          <w:szCs w:val="24"/>
          <w:vertAlign w:val="superscript"/>
          <w:rtl w:val="0"/>
        </w:rPr>
        <w:t xml:space="preserve">18</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3.2.2. 美元中心地位的制度化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该体系的核心是“金汇兑标准”（Gold Exchange Standard）。体系规定，成员国货币对美元维持固定汇率（允许上下1%的波动），而美元则与黄金挂钩，官方兑换价为每盎司黄金35美元 </w:t>
      </w:r>
      <w:r>
        <w:rPr>
          <w:rFonts w:ascii="Google Sans Text" w:hAnsi="Google Sans Text" w:eastAsia="Google Sans Text" w:cs="Google Sans Text"/>
          <w:sz w:val="24"/>
          <w:szCs w:val="24"/>
          <w:vertAlign w:val="superscript"/>
          <w:rtl w:val="0"/>
        </w:rPr>
        <w:t xml:space="preserve">19</w:t>
      </w:r>
      <w:r>
        <w:rPr>
          <w:rFonts w:ascii="Google Sans Text" w:hAnsi="Google Sans Text" w:eastAsia="Google Sans Text" w:cs="Google Sans Text"/>
          <w:rtl w:val="0"/>
        </w:rPr>
        <w:t xml:space="preserve">。美国作为当时拥有全球三分之二黄金的国家，坚持将美元作为该体系的核心储备货币 </w:t>
      </w:r>
      <w:r>
        <w:rPr>
          <w:rFonts w:ascii="Google Sans Text" w:hAnsi="Google Sans Text" w:eastAsia="Google Sans Text" w:cs="Google Sans Text"/>
          <w:sz w:val="24"/>
          <w:szCs w:val="24"/>
          <w:vertAlign w:val="superscript"/>
          <w:rtl w:val="0"/>
        </w:rPr>
        <w:t xml:space="preserve">19</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布雷顿森林体系于1945年12月27日正式建立 </w:t>
      </w:r>
      <w:r>
        <w:rPr>
          <w:rFonts w:ascii="Google Sans Text" w:hAnsi="Google Sans Text" w:eastAsia="Google Sans Text" w:cs="Google Sans Text"/>
          <w:sz w:val="24"/>
          <w:szCs w:val="24"/>
          <w:vertAlign w:val="superscript"/>
          <w:rtl w:val="0"/>
        </w:rPr>
        <w:t xml:space="preserve">19</w:t>
      </w:r>
      <w:r>
        <w:rPr>
          <w:rFonts w:ascii="Google Sans Text" w:hAnsi="Google Sans Text" w:eastAsia="Google Sans Text" w:cs="Google Sans Text"/>
          <w:rtl w:val="0"/>
        </w:rPr>
        <w:t xml:space="preserve">。这种制度安排有效地将美元的中心地位“锁定”为战后国际金融体系的路径依赖 </w:t>
      </w:r>
      <w:r>
        <w:rPr>
          <w:rFonts w:ascii="Google Sans Text" w:hAnsi="Google Sans Text" w:eastAsia="Google Sans Text" w:cs="Google Sans Text"/>
          <w:sz w:val="24"/>
          <w:szCs w:val="24"/>
          <w:vertAlign w:val="superscript"/>
          <w:rtl w:val="0"/>
        </w:rPr>
        <w:t xml:space="preserve">21</w:t>
      </w:r>
      <w:r>
        <w:rPr>
          <w:rFonts w:ascii="Google Sans Text" w:hAnsi="Google Sans Text" w:eastAsia="Google Sans Text" w:cs="Google Sans Text"/>
          <w:rtl w:val="0"/>
        </w:rPr>
        <w:t xml:space="preserve">。该制度一直持续到1970年代初，当时美国由于持续的国际收支逆差，导致外国持有的美元数量超过了美国的黄金储备，无法履行美元兑换黄金的义务。1971年，理查德·尼克松总统终止了美元对黄金的可兑换性 </w:t>
      </w:r>
      <w:r>
        <w:rPr>
          <w:rFonts w:ascii="Google Sans Text" w:hAnsi="Google Sans Text" w:eastAsia="Google Sans Text" w:cs="Google Sans Text"/>
          <w:sz w:val="24"/>
          <w:szCs w:val="24"/>
          <w:vertAlign w:val="superscript"/>
          <w:rtl w:val="0"/>
        </w:rPr>
        <w:t xml:space="preserve">22</w:t>
      </w:r>
      <w:r>
        <w:rPr>
          <w:rFonts w:ascii="Google Sans Text" w:hAnsi="Google Sans Text" w:eastAsia="Google Sans Text" w:cs="Google Sans Text"/>
          <w:rtl w:val="0"/>
        </w:rPr>
        <w:t xml:space="preserve">。然而，尽管固定汇率体系崩溃，但美元的核心储备货币地位和由此建立的IMF/世界银行体系的制度框架依然延续下来。</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IV. 战后安全与一体化：避免灾难的制度设计</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二战的灾难性后果为西方领导人提供了巨大的政治资本，促使他们超越民族主义竞争，采纳旨在“合作与约束”的新制度设计。这是通过集体行动和制度创新实现“文明飞跃”的典型案例。</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4.1. 北大西洋公约组织（NATO）：集体防御的锁定</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北大西洋公约组织（北约）成立于1949年4月 </w:t>
      </w:r>
      <w:r>
        <w:rPr>
          <w:rFonts w:ascii="Google Sans Text" w:hAnsi="Google Sans Text" w:eastAsia="Google Sans Text" w:cs="Google Sans Text"/>
          <w:sz w:val="24"/>
          <w:szCs w:val="24"/>
          <w:vertAlign w:val="superscript"/>
          <w:rtl w:val="0"/>
        </w:rPr>
        <w:t xml:space="preserve">23</w:t>
      </w:r>
      <w:r>
        <w:rPr>
          <w:rFonts w:ascii="Google Sans Text" w:hAnsi="Google Sans Text" w:eastAsia="Google Sans Text" w:cs="Google Sans Text"/>
          <w:rtl w:val="0"/>
        </w:rPr>
        <w:t xml:space="preserve">。其基本目标是维护其成员国的自由、共同遗产和文明，这些基础建立在民主、个人自由和法治原则之上 </w:t>
      </w:r>
      <w:r>
        <w:rPr>
          <w:rFonts w:ascii="Google Sans Text" w:hAnsi="Google Sans Text" w:eastAsia="Google Sans Text" w:cs="Google Sans Text"/>
          <w:sz w:val="24"/>
          <w:szCs w:val="24"/>
          <w:vertAlign w:val="superscript"/>
          <w:rtl w:val="0"/>
        </w:rPr>
        <w:t xml:space="preserve">24</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北约的制度核心在于《北大西洋公约》第5条所规定的“集体防御”原则 </w:t>
      </w:r>
      <w:r>
        <w:rPr>
          <w:rFonts w:ascii="Google Sans Text" w:hAnsi="Google Sans Text" w:eastAsia="Google Sans Text" w:cs="Google Sans Text"/>
          <w:sz w:val="24"/>
          <w:szCs w:val="24"/>
          <w:vertAlign w:val="superscript"/>
          <w:rtl w:val="0"/>
        </w:rPr>
        <w:t xml:space="preserve">23</w:t>
      </w:r>
      <w:r>
        <w:rPr>
          <w:rFonts w:ascii="Google Sans Text" w:hAnsi="Google Sans Text" w:eastAsia="Google Sans Text" w:cs="Google Sans Text"/>
          <w:rtl w:val="0"/>
        </w:rPr>
        <w:t xml:space="preserve">。这一机制不仅旨在应对冷战初期的外部威胁，更重要的是，它将加拿大和美国永久性地纳入了欧洲安全架构，有效地约束了西欧国家重走民族主义和军国主义老路的风险。通过第3条，盟国承诺维持和发展其单独和集体的能力，以抵抗武装攻击 </w:t>
      </w:r>
      <w:r>
        <w:rPr>
          <w:rFonts w:ascii="Google Sans Text" w:hAnsi="Google Sans Text" w:eastAsia="Google Sans Text" w:cs="Google Sans Text"/>
          <w:sz w:val="24"/>
          <w:szCs w:val="24"/>
          <w:vertAlign w:val="superscript"/>
          <w:rtl w:val="0"/>
        </w:rPr>
        <w:t xml:space="preserve">23</w:t>
      </w:r>
      <w:r>
        <w:rPr>
          <w:rFonts w:ascii="Google Sans Text" w:hAnsi="Google Sans Text" w:eastAsia="Google Sans Text" w:cs="Google Sans Text"/>
          <w:rtl w:val="0"/>
        </w:rPr>
        <w:t xml:space="preserve">。这种合作安全模式是对传统零和战略的根本转变 </w:t>
      </w:r>
      <w:r>
        <w:rPr>
          <w:rFonts w:ascii="Google Sans Text" w:hAnsi="Google Sans Text" w:eastAsia="Google Sans Text" w:cs="Google Sans Text"/>
          <w:sz w:val="24"/>
          <w:szCs w:val="24"/>
          <w:vertAlign w:val="superscript"/>
          <w:rtl w:val="0"/>
        </w:rPr>
        <w:t xml:space="preserve">25</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4.2. 欧洲一体化：使战争在物质上不再可能</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欧洲一体化是二战后最雄心勃勃的制度创新。1950年5月9日，法国外交部长罗伯特·舒曼提出了著名的《舒曼宣言》 </w:t>
      </w:r>
      <w:r>
        <w:rPr>
          <w:rFonts w:ascii="Google Sans Text" w:hAnsi="Google Sans Text" w:eastAsia="Google Sans Text" w:cs="Google Sans Text"/>
          <w:sz w:val="24"/>
          <w:szCs w:val="24"/>
          <w:vertAlign w:val="superscript"/>
          <w:rtl w:val="0"/>
        </w:rPr>
        <w:t xml:space="preserve">26</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4.2.1. ECSC的创立目标</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该宣言提议创建欧洲煤钢共同体（ECSC），其创始成员包括法国、西德、意大利、荷兰、比利时和卢森堡。宣言的核心理念在于：“通过汇集煤炭和钢铁生产，使得战争在历史上对立的法国和德国之间变得‘不仅在思想上不可想象，而且在物质上不可能’。” </w:t>
      </w:r>
      <w:r>
        <w:rPr>
          <w:rFonts w:ascii="Google Sans Text" w:hAnsi="Google Sans Text" w:eastAsia="Google Sans Text" w:cs="Google Sans Text"/>
          <w:sz w:val="24"/>
          <w:szCs w:val="24"/>
          <w:vertAlign w:val="superscript"/>
          <w:rtl w:val="0"/>
        </w:rPr>
        <w:t xml:space="preserve">26</w:t>
      </w:r>
      <w:r>
        <w:rPr>
          <w:rFonts w:ascii="Google Sans Text" w:hAnsi="Google Sans Text" w:eastAsia="Google Sans Text" w:cs="Google Sans Text"/>
          <w:rtl w:val="0"/>
        </w:rPr>
        <w:t xml:space="preserve">。煤和钢是军工产业最关键的原材料，将其置于一个共同的、超越国家主权的机构管理之下，是一种创造性的制度设计 </w:t>
      </w:r>
      <w:r>
        <w:rPr>
          <w:rFonts w:ascii="Google Sans Text" w:hAnsi="Google Sans Text" w:eastAsia="Google Sans Text" w:cs="Google Sans Text"/>
          <w:sz w:val="24"/>
          <w:szCs w:val="24"/>
          <w:vertAlign w:val="superscript"/>
          <w:rtl w:val="0"/>
        </w:rPr>
        <w:t xml:space="preserve">27</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4.2.2. 路径依赖的形成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ECSC的建立旨在通过经济利益的融合来提高生活水平，并作为迈向更联合欧洲的第一步 </w:t>
      </w:r>
      <w:r>
        <w:rPr>
          <w:rFonts w:ascii="Google Sans Text" w:hAnsi="Google Sans Text" w:eastAsia="Google Sans Text" w:cs="Google Sans Text"/>
          <w:sz w:val="24"/>
          <w:szCs w:val="24"/>
          <w:vertAlign w:val="superscript"/>
          <w:rtl w:val="0"/>
        </w:rPr>
        <w:t xml:space="preserve">26</w:t>
      </w:r>
      <w:r>
        <w:rPr>
          <w:rFonts w:ascii="Google Sans Text" w:hAnsi="Google Sans Text" w:eastAsia="Google Sans Text" w:cs="Google Sans Text"/>
          <w:rtl w:val="0"/>
        </w:rPr>
        <w:t xml:space="preserve">。这种制度选择体现了在极端破坏之后，通过集体安全和经济一体化重建新秩序的决心。它不是自然发生的“飞跃”，而是政治家们在关键转折点上，为解决系统性问题而做出的有意识、高成本的制度选择 </w:t>
      </w:r>
      <w:r>
        <w:rPr>
          <w:rFonts w:ascii="Google Sans Text" w:hAnsi="Google Sans Text" w:eastAsia="Google Sans Text" w:cs="Google Sans Text"/>
          <w:sz w:val="24"/>
          <w:szCs w:val="24"/>
          <w:vertAlign w:val="superscript"/>
          <w:rtl w:val="0"/>
        </w:rPr>
        <w:t xml:space="preserve">28</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V. 技术积累与大型企业在战后的腾飞</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灾难为大型工业和科技公司的发展提供了巨大的市场重塑和重建需求，但它们的腾飞并非“灾后红利”的简单结果，而是依赖于</w:t>
      </w:r>
      <w:r>
        <w:rPr>
          <w:rFonts w:ascii="Google Sans Text" w:hAnsi="Google Sans Text" w:eastAsia="Google Sans Text" w:cs="Google Sans Text"/>
          <w:b/>
          <w:bCs/>
          <w:rtl w:val="0"/>
        </w:rPr>
        <w:t xml:space="preserve">战前积累的技术储备</w:t>
      </w:r>
      <w:r>
        <w:rPr>
          <w:rFonts w:ascii="Google Sans Text" w:hAnsi="Google Sans Text" w:eastAsia="Google Sans Text" w:cs="Google Sans Text"/>
          <w:rtl w:val="0"/>
        </w:rPr>
        <w:t xml:space="preserve">和</w:t>
      </w:r>
      <w:r>
        <w:rPr>
          <w:rFonts w:ascii="Google Sans Text" w:hAnsi="Google Sans Text" w:eastAsia="Google Sans Text" w:cs="Google Sans Text"/>
          <w:b/>
          <w:bCs/>
          <w:rtl w:val="0"/>
        </w:rPr>
        <w:t xml:space="preserve">危机后的管理创新</w:t>
      </w:r>
      <w:r>
        <w:rPr>
          <w:rFonts w:ascii="Google Sans Text" w:hAnsi="Google Sans Text" w:eastAsia="Google Sans Text" w:cs="Google Sans Text"/>
          <w:rtl w:val="0"/>
        </w:rPr>
        <w:t xml:space="preserve">，以及与</w:t>
      </w:r>
      <w:r>
        <w:rPr>
          <w:rFonts w:ascii="Google Sans Text" w:hAnsi="Google Sans Text" w:eastAsia="Google Sans Text" w:cs="Google Sans Text"/>
          <w:b/>
          <w:bCs/>
          <w:rtl w:val="0"/>
        </w:rPr>
        <w:t xml:space="preserve">政府政策和重建需求</w:t>
      </w:r>
      <w:r>
        <w:rPr>
          <w:rFonts w:ascii="Google Sans Text" w:hAnsi="Google Sans Text" w:eastAsia="Google Sans Text" w:cs="Google Sans Text"/>
          <w:rtl w:val="0"/>
        </w:rPr>
        <w:t xml:space="preserve">的战略性对齐。</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5.1. 市场环境与政府驱动的需求</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二战结束后，欧洲和日本面临大规模重建，这创造了对基础设施、工业设备和消费品的巨大需求。同时，美国政府在冷战早期对高新技术的持续投入（如军工和计算技术）也为企业提供了关键的资金支持和发展环境 </w:t>
      </w:r>
      <w:r>
        <w:rPr>
          <w:rFonts w:ascii="Google Sans Text" w:hAnsi="Google Sans Text" w:eastAsia="Google Sans Text" w:cs="Google Sans Text"/>
          <w:sz w:val="24"/>
          <w:szCs w:val="24"/>
          <w:vertAlign w:val="superscript"/>
          <w:rtl w:val="0"/>
        </w:rPr>
        <w:t xml:space="preserve">29</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5.2. IBM：技术先发优势与政府合作</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国际商业机器公司（IBM）的成功建立在其悠久的历史和战略性的R&amp;D投入之上 </w:t>
      </w:r>
      <w:r>
        <w:rPr>
          <w:rFonts w:ascii="Google Sans Text" w:hAnsi="Google Sans Text" w:eastAsia="Google Sans Text" w:cs="Google Sans Text"/>
          <w:sz w:val="24"/>
          <w:szCs w:val="24"/>
          <w:vertAlign w:val="superscript"/>
          <w:rtl w:val="0"/>
        </w:rPr>
        <w:t xml:space="preserve">30</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危机前的战略准备：</w:t>
      </w:r>
      <w:r>
        <w:rPr>
          <w:rFonts w:ascii="Google Sans Text" w:hAnsi="Google Sans Text" w:eastAsia="Google Sans Text" w:cs="Google Sans Text"/>
          <w:rtl w:val="0"/>
        </w:rPr>
        <w:t xml:space="preserve"> 早在1930年代大萧条期间，IBM就保持了对研究的投资并维持了员工队伍，使其在国会批准《社会保障法案》（SSA）后处于有利地位 </w:t>
      </w:r>
      <w:r>
        <w:rPr>
          <w:rFonts w:ascii="Google Sans Text" w:hAnsi="Google Sans Text" w:eastAsia="Google Sans Text" w:cs="Google Sans Text"/>
          <w:sz w:val="24"/>
          <w:szCs w:val="24"/>
          <w:vertAlign w:val="superscript"/>
          <w:rtl w:val="0"/>
        </w:rPr>
        <w:t xml:space="preserve">31</w:t>
      </w:r>
      <w:r>
        <w:rPr>
          <w:rFonts w:ascii="Google Sans Text" w:hAnsi="Google Sans Text" w:eastAsia="Google Sans Text" w:cs="Google Sans Text"/>
          <w:rtl w:val="0"/>
        </w:rPr>
        <w:t xml:space="preserve">。1936年，IBM赢得了SSA自动化项目的合同，该项目需要大量的卡片式数据制表机，IBM为此专门开发了077型整理机 </w:t>
      </w:r>
      <w:r>
        <w:rPr>
          <w:rFonts w:ascii="Google Sans Text" w:hAnsi="Google Sans Text" w:eastAsia="Google Sans Text" w:cs="Google Sans Text"/>
          <w:sz w:val="24"/>
          <w:szCs w:val="24"/>
          <w:vertAlign w:val="superscript"/>
          <w:rtl w:val="0"/>
        </w:rPr>
        <w:t xml:space="preserve">31</w:t>
      </w:r>
      <w:r>
        <w:rPr>
          <w:rFonts w:ascii="Google Sans Text" w:hAnsi="Google Sans Text" w:eastAsia="Google Sans Text" w:cs="Google Sans Text"/>
          <w:rtl w:val="0"/>
        </w:rPr>
        <w:t xml:space="preserve">。</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战后的转型：</w:t>
      </w:r>
      <w:r>
        <w:rPr>
          <w:rFonts w:ascii="Google Sans Text" w:hAnsi="Google Sans Text" w:eastAsia="Google Sans Text" w:cs="Google Sans Text"/>
          <w:rtl w:val="0"/>
        </w:rPr>
        <w:t xml:space="preserve"> 虽然二战军事合同的结束导致收入来源骤减 </w:t>
      </w:r>
      <w:r>
        <w:rPr>
          <w:rFonts w:ascii="Google Sans Text" w:hAnsi="Google Sans Text" w:eastAsia="Google Sans Text" w:cs="Google Sans Text"/>
          <w:sz w:val="24"/>
          <w:szCs w:val="24"/>
          <w:vertAlign w:val="superscript"/>
          <w:rtl w:val="0"/>
        </w:rPr>
        <w:t xml:space="preserve">32</w:t>
      </w:r>
      <w:r>
        <w:rPr>
          <w:rFonts w:ascii="Google Sans Text" w:hAnsi="Google Sans Text" w:eastAsia="Google Sans Text" w:cs="Google Sans Text"/>
          <w:rtl w:val="0"/>
        </w:rPr>
        <w:t xml:space="preserve">，但公司利用其增加的劳动力和在计算技术方面的早期专业知识，抓住了美国政府对新兴技术（如计算机）的大规模资助计划 </w:t>
      </w:r>
      <w:r>
        <w:rPr>
          <w:rFonts w:ascii="Google Sans Text" w:hAnsi="Google Sans Text" w:eastAsia="Google Sans Text" w:cs="Google Sans Text"/>
          <w:sz w:val="24"/>
          <w:szCs w:val="24"/>
          <w:vertAlign w:val="superscript"/>
          <w:rtl w:val="0"/>
        </w:rPr>
        <w:t xml:space="preserve">32</w:t>
      </w:r>
      <w:r>
        <w:rPr>
          <w:rFonts w:ascii="Google Sans Text" w:hAnsi="Google Sans Text" w:eastAsia="Google Sans Text" w:cs="Google Sans Text"/>
          <w:rtl w:val="0"/>
        </w:rPr>
        <w:t xml:space="preserve">。IBM的持续增长源于其在1960年代推出的System/360大型机系列，巩固了其作为硬件、软件和服务综合解决方案提供商的地位 </w:t>
      </w:r>
      <w:r>
        <w:rPr>
          <w:rFonts w:ascii="Google Sans Text" w:hAnsi="Google Sans Text" w:eastAsia="Google Sans Text" w:cs="Google Sans Text"/>
          <w:sz w:val="24"/>
          <w:szCs w:val="24"/>
          <w:vertAlign w:val="superscript"/>
          <w:rtl w:val="0"/>
        </w:rPr>
        <w:t xml:space="preserve">30</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5.3. 丰田：从生存危机到管理革新</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丰田汽车在战后日本的经历表明，极端的危机可以成为组织创新的强大催化剂。</w:t>
      </w:r>
      <w:r>
        <w:rPr>
          <w:rFonts w:ascii="Google Sans Text" w:hAnsi="Google Sans Text" w:eastAsia="Google Sans Text" w:cs="Google Sans Text"/>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战后重建压力：</w:t>
      </w:r>
      <w:r>
        <w:rPr>
          <w:rFonts w:ascii="Google Sans Text" w:hAnsi="Google Sans Text" w:eastAsia="Google Sans Text" w:cs="Google Sans Text"/>
          <w:rtl w:val="0"/>
        </w:rPr>
        <w:t xml:space="preserve"> 1945年，日本工业受到严重轰炸破坏，丰田的工厂设施受损。尽管面临物资短缺，丰田被允许生产卡车和部分民用设备 </w:t>
      </w:r>
      <w:r>
        <w:rPr>
          <w:rFonts w:ascii="Google Sans Text" w:hAnsi="Google Sans Text" w:eastAsia="Google Sans Text" w:cs="Google Sans Text"/>
          <w:sz w:val="24"/>
          <w:szCs w:val="24"/>
          <w:vertAlign w:val="superscript"/>
          <w:rtl w:val="0"/>
        </w:rPr>
        <w:t xml:space="preserve">33</w:t>
      </w:r>
      <w:r>
        <w:rPr>
          <w:rFonts w:ascii="Google Sans Text" w:hAnsi="Google Sans Text" w:eastAsia="Google Sans Text" w:cs="Google Sans Text"/>
          <w:rtl w:val="0"/>
        </w:rPr>
        <w:t xml:space="preserve">。</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金融和劳工危机驱动创新：</w:t>
      </w:r>
      <w:r>
        <w:rPr>
          <w:rFonts w:ascii="Google Sans Text" w:hAnsi="Google Sans Text" w:eastAsia="Google Sans Text" w:cs="Google Sans Text"/>
          <w:rtl w:val="0"/>
        </w:rPr>
        <w:t xml:space="preserve"> 丰田在1949年左右经历了严重的金融和劳工危机，通货膨胀失控，商业信贷枯竭，公司一度濒临破产，被迫裁员 </w:t>
      </w:r>
      <w:r>
        <w:rPr>
          <w:rFonts w:ascii="Google Sans Text" w:hAnsi="Google Sans Text" w:eastAsia="Google Sans Text" w:cs="Google Sans Text"/>
          <w:sz w:val="24"/>
          <w:szCs w:val="24"/>
          <w:vertAlign w:val="superscript"/>
          <w:rtl w:val="0"/>
        </w:rPr>
        <w:t xml:space="preserve">34</w:t>
      </w:r>
      <w:r>
        <w:rPr>
          <w:rFonts w:ascii="Google Sans Text" w:hAnsi="Google Sans Text" w:eastAsia="Google Sans Text" w:cs="Google Sans Text"/>
          <w:rtl w:val="0"/>
        </w:rPr>
        <w:t xml:space="preserve">。正是这种生存压力，迫使丰田的两名高管前往美国寻求新的理念，并在学习美国超市运营模式和福特汽车公司的影响下，构思了后来的丰田生产系统（TPS） </w:t>
      </w:r>
      <w:r>
        <w:rPr>
          <w:rFonts w:ascii="Google Sans Text" w:hAnsi="Google Sans Text" w:eastAsia="Google Sans Text" w:cs="Google Sans Text"/>
          <w:sz w:val="24"/>
          <w:szCs w:val="24"/>
          <w:vertAlign w:val="superscript"/>
          <w:rtl w:val="0"/>
        </w:rPr>
        <w:t xml:space="preserve">34</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这些企业的成功表明，战争的破坏提供了市场机会，但真正的“飞跃”是由于它们具备了在危机中进行</w:t>
      </w:r>
      <w:r>
        <w:rPr>
          <w:rFonts w:ascii="Google Sans Text" w:hAnsi="Google Sans Text" w:eastAsia="Google Sans Text" w:cs="Google Sans Text"/>
          <w:b/>
          <w:bCs/>
          <w:rtl w:val="0"/>
        </w:rPr>
        <w:t xml:space="preserve">管理革新</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技术持续研发</w:t>
      </w:r>
      <w:r>
        <w:rPr>
          <w:rFonts w:ascii="Google Sans Text" w:hAnsi="Google Sans Text" w:eastAsia="Google Sans Text" w:cs="Google Sans Text"/>
          <w:rtl w:val="0"/>
        </w:rPr>
        <w:t xml:space="preserve">和</w:t>
      </w:r>
      <w:r>
        <w:rPr>
          <w:rFonts w:ascii="Google Sans Text" w:hAnsi="Google Sans Text" w:eastAsia="Google Sans Text" w:cs="Google Sans Text"/>
          <w:b/>
          <w:bCs/>
          <w:rtl w:val="0"/>
        </w:rPr>
        <w:t xml:space="preserve">快速适应</w:t>
      </w:r>
      <w:r>
        <w:rPr>
          <w:rFonts w:ascii="Google Sans Text" w:hAnsi="Google Sans Text" w:eastAsia="Google Sans Text" w:cs="Google Sans Text"/>
          <w:rtl w:val="0"/>
        </w:rPr>
        <w:t xml:space="preserve">新市场的能力。</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VI. 反例：灾难导致长期停滞和制度衰退</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如果将“灾难孕育文明”视为铁律，就会忽略那些导致长期衰退和制度崩坏的案例。这些反例强调了“先决条件”和“治理能力”在决定危机后果中的关键作用。</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6.1. 三十年战争（1618–1648）：制度的破碎与衰落</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三十年战争是近代欧洲最具破坏性的冲突之一，尤其是在德意志地区。</w:t>
      </w:r>
      <w:r>
        <w:rPr>
          <w:rFonts w:ascii="Google Sans Text" w:hAnsi="Google Sans Text" w:eastAsia="Google Sans Text" w:cs="Google Sans Text"/>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人口和经济的长期创伤：</w:t>
      </w:r>
      <w:r>
        <w:rPr>
          <w:rFonts w:ascii="Google Sans Text" w:hAnsi="Google Sans Text" w:eastAsia="Google Sans Text" w:cs="Google Sans Text"/>
          <w:rtl w:val="0"/>
        </w:rPr>
        <w:t xml:space="preserve"> 这场战争造成了高达400万至1200万人的死亡，部分地区人口减少高达60% </w:t>
      </w:r>
      <w:r>
        <w:rPr>
          <w:rFonts w:ascii="Google Sans Text" w:hAnsi="Google Sans Text" w:eastAsia="Google Sans Text" w:cs="Google Sans Text"/>
          <w:sz w:val="24"/>
          <w:szCs w:val="24"/>
          <w:vertAlign w:val="superscript"/>
          <w:rtl w:val="0"/>
        </w:rPr>
        <w:t xml:space="preserve">35</w:t>
      </w:r>
      <w:r>
        <w:rPr>
          <w:rFonts w:ascii="Google Sans Text" w:hAnsi="Google Sans Text" w:eastAsia="Google Sans Text" w:cs="Google Sans Text"/>
          <w:rtl w:val="0"/>
        </w:rPr>
        <w:t xml:space="preserve">。随之而来的是瘟疫、饥荒和农民起义 </w:t>
      </w:r>
      <w:r>
        <w:rPr>
          <w:rFonts w:ascii="Google Sans Text" w:hAnsi="Google Sans Text" w:eastAsia="Google Sans Text" w:cs="Google Sans Text"/>
          <w:sz w:val="24"/>
          <w:szCs w:val="24"/>
          <w:vertAlign w:val="superscript"/>
          <w:rtl w:val="0"/>
        </w:rPr>
        <w:t xml:space="preserve">36</w:t>
      </w:r>
      <w:r>
        <w:rPr>
          <w:rFonts w:ascii="Google Sans Text" w:hAnsi="Google Sans Text" w:eastAsia="Google Sans Text" w:cs="Google Sans Text"/>
          <w:rtl w:val="0"/>
        </w:rPr>
        <w:t xml:space="preserve">。</w:t>
      </w: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财富的毁灭与制度的固化：</w:t>
      </w:r>
      <w:r>
        <w:rPr>
          <w:rFonts w:ascii="Google Sans Text" w:hAnsi="Google Sans Text" w:eastAsia="Google Sans Text" w:cs="Google Sans Text"/>
          <w:rtl w:val="0"/>
        </w:rPr>
        <w:t xml:space="preserve"> 经济史研究显示，由于持续的军事活动和地方政府为资助战争而进行的超额提取（地方支出超过帝国战争融资五倍以上），17个城市社区的公民财富平均下降了34% </w:t>
      </w:r>
      <w:r>
        <w:rPr>
          <w:rFonts w:ascii="Google Sans Text" w:hAnsi="Google Sans Text" w:eastAsia="Google Sans Text" w:cs="Google Sans Text"/>
          <w:sz w:val="24"/>
          <w:szCs w:val="24"/>
          <w:vertAlign w:val="superscript"/>
          <w:rtl w:val="0"/>
        </w:rPr>
        <w:t xml:space="preserve">37</w:t>
      </w:r>
      <w:r>
        <w:rPr>
          <w:rFonts w:ascii="Google Sans Text" w:hAnsi="Google Sans Text" w:eastAsia="Google Sans Text" w:cs="Google Sans Text"/>
          <w:rtl w:val="0"/>
        </w:rPr>
        <w:t xml:space="preserve">。虽然这场战争在统计上可能导致了不平等的短暂下降（通过大规模死亡和财产毁灭实现） </w:t>
      </w:r>
      <w:r>
        <w:rPr>
          <w:rFonts w:ascii="Google Sans Text" w:hAnsi="Google Sans Text" w:eastAsia="Google Sans Text" w:cs="Google Sans Text"/>
          <w:sz w:val="24"/>
          <w:szCs w:val="24"/>
          <w:vertAlign w:val="superscript"/>
          <w:rtl w:val="0"/>
        </w:rPr>
        <w:t xml:space="preserve">38</w:t>
      </w:r>
      <w:r>
        <w:rPr>
          <w:rFonts w:ascii="Google Sans Text" w:hAnsi="Google Sans Text" w:eastAsia="Google Sans Text" w:cs="Google Sans Text"/>
          <w:rtl w:val="0"/>
        </w:rPr>
        <w:t xml:space="preserve">，但它未能催生出更高级的制度结构，反而造成了德意志地区的政治长期碎片化和经济停滞 </w:t>
      </w:r>
      <w:r>
        <w:rPr>
          <w:rFonts w:ascii="Google Sans Text" w:hAnsi="Google Sans Text" w:eastAsia="Google Sans Text" w:cs="Google Sans Text"/>
          <w:sz w:val="24"/>
          <w:szCs w:val="24"/>
          <w:vertAlign w:val="superscript"/>
          <w:rtl w:val="0"/>
        </w:rPr>
        <w:t xml:space="preserve">39</w:t>
      </w:r>
      <w:r>
        <w:rPr>
          <w:rFonts w:ascii="Google Sans Text" w:hAnsi="Google Sans Text" w:eastAsia="Google Sans Text" w:cs="Google Sans Text"/>
          <w:rtl w:val="0"/>
        </w:rPr>
        <w:t xml:space="preserve">。这场灾难摧毁了财富和生产力，但没有创造出有效的新秩序来代替旧的权力格局。</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6.2. 西罗马帝国的崩溃：复杂性的丧失</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西罗马帝国（Western Roman Empire）的崩溃是一个复杂的社会系统失去中心政治控制的过程，是制度瓦解而非重建的典型 </w:t>
      </w:r>
      <w:r>
        <w:rPr>
          <w:rFonts w:ascii="Google Sans Text" w:hAnsi="Google Sans Text" w:eastAsia="Google Sans Text" w:cs="Google Sans Text"/>
          <w:sz w:val="24"/>
          <w:szCs w:val="24"/>
          <w:vertAlign w:val="superscript"/>
          <w:rtl w:val="0"/>
        </w:rPr>
        <w:t xml:space="preserve">40</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系统性崩溃与治理真空：</w:t>
      </w:r>
      <w:r>
        <w:rPr>
          <w:rFonts w:ascii="Google Sans Text" w:hAnsi="Google Sans Text" w:eastAsia="Google Sans Text" w:cs="Google Sans Text"/>
          <w:rtl w:val="0"/>
        </w:rPr>
        <w:t xml:space="preserve"> 导致崩溃的因素包括军队效能下降、人口健康问题、经济疲软、以及外部入侵压力 </w:t>
      </w:r>
      <w:r>
        <w:rPr>
          <w:rFonts w:ascii="Google Sans Text" w:hAnsi="Google Sans Text" w:eastAsia="Google Sans Text" w:cs="Google Sans Text"/>
          <w:sz w:val="24"/>
          <w:szCs w:val="24"/>
          <w:vertAlign w:val="superscript"/>
          <w:rtl w:val="0"/>
        </w:rPr>
        <w:t xml:space="preserve">40</w:t>
      </w:r>
      <w:r>
        <w:rPr>
          <w:rFonts w:ascii="Google Sans Text" w:hAnsi="Google Sans Text" w:eastAsia="Google Sans Text" w:cs="Google Sans Text"/>
          <w:rtl w:val="0"/>
        </w:rPr>
        <w:t xml:space="preserve">。这被视为一种“社会崩溃”（Societal Collapse），其特征是失去了文化认同、社会复杂性和政府职能 </w:t>
      </w:r>
      <w:r>
        <w:rPr>
          <w:rFonts w:ascii="Google Sans Text" w:hAnsi="Google Sans Text" w:eastAsia="Google Sans Text" w:cs="Google Sans Text"/>
          <w:sz w:val="24"/>
          <w:szCs w:val="24"/>
          <w:vertAlign w:val="superscript"/>
          <w:rtl w:val="0"/>
        </w:rPr>
        <w:t xml:space="preserve">41</w:t>
      </w:r>
      <w:r>
        <w:rPr>
          <w:rFonts w:ascii="Google Sans Text" w:hAnsi="Google Sans Text" w:eastAsia="Google Sans Text" w:cs="Google Sans Text"/>
          <w:rtl w:val="0"/>
        </w:rPr>
        <w:t xml:space="preserve">。</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城市网络的瓦解：</w:t>
      </w:r>
      <w:r>
        <w:rPr>
          <w:rFonts w:ascii="Google Sans Text" w:hAnsi="Google Sans Text" w:eastAsia="Google Sans Text" w:cs="Google Sans Text"/>
          <w:rtl w:val="0"/>
        </w:rPr>
        <w:t xml:space="preserve"> 罗马帝国的崩溃导致了城市化率的大幅下降和贸易的衰退 </w:t>
      </w:r>
      <w:r>
        <w:rPr>
          <w:rFonts w:ascii="Google Sans Text" w:hAnsi="Google Sans Text" w:eastAsia="Google Sans Text" w:cs="Google Sans Text"/>
          <w:sz w:val="24"/>
          <w:szCs w:val="24"/>
          <w:vertAlign w:val="superscript"/>
          <w:rtl w:val="0"/>
        </w:rPr>
        <w:t xml:space="preserve">42</w:t>
      </w:r>
      <w:r>
        <w:rPr>
          <w:rFonts w:ascii="Google Sans Text" w:hAnsi="Google Sans Text" w:eastAsia="Google Sans Text" w:cs="Google Sans Text"/>
          <w:rtl w:val="0"/>
        </w:rPr>
        <w:t xml:space="preserve">。考古学证据表明，尽管在罗马撤退后（约公元400年），英国的一些工业经济活动仍在继续（例如在阿尔德伯勒，金属生产持续到公元550-600年左右，可能是受到后续的查士丁尼瘟疫波及才急剧下降） </w:t>
      </w:r>
      <w:r>
        <w:rPr>
          <w:rFonts w:ascii="Google Sans Text" w:hAnsi="Google Sans Text" w:eastAsia="Google Sans Text" w:cs="Google Sans Text"/>
          <w:sz w:val="24"/>
          <w:szCs w:val="24"/>
          <w:vertAlign w:val="superscript"/>
          <w:rtl w:val="0"/>
        </w:rPr>
        <w:t xml:space="preserve">43</w:t>
      </w:r>
      <w:r>
        <w:rPr>
          <w:rFonts w:ascii="Google Sans Text" w:hAnsi="Google Sans Text" w:eastAsia="Google Sans Text" w:cs="Google Sans Text"/>
          <w:rtl w:val="0"/>
        </w:rPr>
        <w:t xml:space="preserve">，但支撑这些活动的复杂行政、法律和贸易基础设施已经消失 </w:t>
      </w:r>
      <w:r>
        <w:rPr>
          <w:rFonts w:ascii="Google Sans Text" w:hAnsi="Google Sans Text" w:eastAsia="Google Sans Text" w:cs="Google Sans Text"/>
          <w:sz w:val="24"/>
          <w:szCs w:val="24"/>
          <w:vertAlign w:val="superscript"/>
          <w:rtl w:val="0"/>
        </w:rPr>
        <w:t xml:space="preserve">41</w:t>
      </w:r>
      <w:r>
        <w:rPr>
          <w:rFonts w:ascii="Google Sans Text" w:hAnsi="Google Sans Text" w:eastAsia="Google Sans Text" w:cs="Google Sans Text"/>
          <w:rtl w:val="0"/>
        </w:rPr>
        <w:t xml:space="preserve">。社会经历了漫长的“早期中世纪”时期，其特征是复杂性的丧失和经济的重新组织 </w:t>
      </w:r>
      <w:r>
        <w:rPr>
          <w:rFonts w:ascii="Google Sans Text" w:hAnsi="Google Sans Text" w:eastAsia="Google Sans Text" w:cs="Google Sans Text"/>
          <w:sz w:val="24"/>
          <w:szCs w:val="24"/>
          <w:vertAlign w:val="superscript"/>
          <w:rtl w:val="0"/>
        </w:rPr>
        <w:t xml:space="preserve">42</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与二战后能够迅速建立IMF和北约不同，罗马崩溃后缺乏一个有能力、有共识的权力机构来设计和执行高复杂度的制度，导致了长期的制度真空和生产力倒退。</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VII. 综合评估与结论：灾难与人类选择的交汇</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本报告的分析证实，将灾难视为文明进步的直接驱动力是不准确的。灾难充当的是</w:t>
      </w:r>
      <w:r>
        <w:rPr>
          <w:rFonts w:ascii="Google Sans Text" w:hAnsi="Google Sans Text" w:eastAsia="Google Sans Text" w:cs="Google Sans Text"/>
          <w:b/>
          <w:bCs/>
          <w:rtl w:val="0"/>
        </w:rPr>
        <w:t xml:space="preserve">催化剂</w:t>
      </w:r>
      <w:r>
        <w:rPr>
          <w:rFonts w:ascii="Google Sans Text" w:hAnsi="Google Sans Text" w:eastAsia="Google Sans Text" w:cs="Google Sans Text"/>
          <w:rtl w:val="0"/>
        </w:rPr>
        <w:t xml:space="preserve">或</w:t>
      </w:r>
      <w:r>
        <w:rPr>
          <w:rFonts w:ascii="Google Sans Text" w:hAnsi="Google Sans Text" w:eastAsia="Google Sans Text" w:cs="Google Sans Text"/>
          <w:b/>
          <w:bCs/>
          <w:rtl w:val="0"/>
        </w:rPr>
        <w:t xml:space="preserve">加速器</w:t>
      </w:r>
      <w:r>
        <w:rPr>
          <w:rFonts w:ascii="Google Sans Text" w:hAnsi="Google Sans Text" w:eastAsia="Google Sans Text" w:cs="Google Sans Text"/>
          <w:rtl w:val="0"/>
        </w:rPr>
        <w:t xml:space="preserve">的角色，它打破了旧的路径依赖，为新的制度选择打开了窗口，但新路径的质量完全取决于人类在危机后所做的决定和既有的社会资源。</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7.1. 灾难作为关键转折点的作用机制</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下表总结了灾难作为外生冲击如何开启关键转折点，并导致不同的制度遗产。</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Table Title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tbl>
      <w:tblPr>
        <w:tblStyle w:val="691"/>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872"/>
        <w:gridCol w:w="1872"/>
        <w:gridCol w:w="1872"/>
        <w:gridCol w:w="1872"/>
        <w:gridCol w:w="1872"/>
        <w:tblGridChange w:id="0">
          <w:tblGrid>
            <w:gridCol w:w="1872"/>
            <w:gridCol w:w="1872"/>
            <w:gridCol w:w="1872"/>
            <w:gridCol w:w="1872"/>
            <w:gridCol w:w="1872"/>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灾难事件</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既有制度均衡</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冲击机制</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关键转折点成果（新路径）</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持续制度遗产</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黑死病（14世纪）</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封建庄园制（劳动力过剩，议价能力弱）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极端人口锐减（劳动力极度稀缺）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实际工资迅速上涨，西欧农奴制瓦解，财富分配转移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劳动力自由化，早期资本主义关系的兴起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第二次世界大战（20世纪）</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国际货币不稳定，民族主义竞争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系统性物理破坏，欧洲权力结构崩溃 </w:t>
            </w:r>
            <w:r>
              <w:rPr>
                <w:rFonts w:ascii="Google Sans Text" w:hAnsi="Google Sans Text" w:eastAsia="Google Sans Text" w:cs="Google Sans Text"/>
                <w:sz w:val="24"/>
                <w:szCs w:val="24"/>
                <w:vertAlign w:val="superscript"/>
                <w:rtl w:val="0"/>
              </w:rPr>
              <w:t xml:space="preserve">18</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蓄意的制度设计（布雷顿森林体系、北约、ECSC） </w:t>
            </w:r>
            <w:r>
              <w:rPr>
                <w:rFonts w:ascii="Google Sans Text" w:hAnsi="Google Sans Text" w:eastAsia="Google Sans Text" w:cs="Google Sans Text"/>
                <w:sz w:val="24"/>
                <w:szCs w:val="24"/>
                <w:vertAlign w:val="superscript"/>
                <w:rtl w:val="0"/>
              </w:rPr>
              <w:t xml:space="preserve">19</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美元中心地位，多边贸易治理，欧洲一体化的路径依赖 </w:t>
            </w:r>
            <w:r>
              <w:rPr>
                <w:rFonts w:ascii="Google Sans Text" w:hAnsi="Google Sans Text" w:eastAsia="Google Sans Text" w:cs="Google Sans Text"/>
                <w:sz w:val="24"/>
                <w:szCs w:val="24"/>
                <w:vertAlign w:val="superscript"/>
                <w:rtl w:val="0"/>
              </w:rPr>
              <w:t xml:space="preserve">21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三十年战争（17世纪）</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神圣罗马帝国的政治高度碎片化</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持续的、掠夺性的军事行动，人口严重损耗（高达60%） </w:t>
            </w:r>
            <w:r>
              <w:rPr>
                <w:rFonts w:ascii="Google Sans Text" w:hAnsi="Google Sans Text" w:eastAsia="Google Sans Text" w:cs="Google Sans Text"/>
                <w:sz w:val="24"/>
                <w:szCs w:val="24"/>
                <w:vertAlign w:val="superscript"/>
                <w:rtl w:val="0"/>
              </w:rPr>
              <w:t xml:space="preserve">35</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大规模经济收缩，公民财富被摧毁，政治长期停滞 </w:t>
            </w:r>
            <w:r>
              <w:rPr>
                <w:rFonts w:ascii="Google Sans Text" w:hAnsi="Google Sans Text" w:eastAsia="Google Sans Text" w:cs="Google Sans Text"/>
                <w:sz w:val="24"/>
                <w:szCs w:val="24"/>
                <w:vertAlign w:val="superscript"/>
                <w:rtl w:val="0"/>
              </w:rPr>
              <w:t xml:space="preserve">37</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政治碎片化持续，权力中央集权失败</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西罗马帝国崩溃（5世纪）</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复杂但日益衰弱的中央官僚行政体系 </w:t>
            </w:r>
            <w:r>
              <w:rPr>
                <w:rFonts w:ascii="Google Sans Text" w:hAnsi="Google Sans Text" w:eastAsia="Google Sans Text" w:cs="Google Sans Text"/>
                <w:sz w:val="24"/>
                <w:szCs w:val="24"/>
                <w:vertAlign w:val="superscript"/>
                <w:rtl w:val="0"/>
              </w:rPr>
              <w:t xml:space="preserve">40</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中央政治控制丧失，人口衰退，大规模入侵 </w:t>
            </w:r>
            <w:r>
              <w:rPr>
                <w:rFonts w:ascii="Google Sans Text" w:hAnsi="Google Sans Text" w:eastAsia="Google Sans Text" w:cs="Google Sans Text"/>
                <w:sz w:val="24"/>
                <w:szCs w:val="24"/>
                <w:vertAlign w:val="superscript"/>
                <w:rtl w:val="0"/>
              </w:rPr>
              <w:t xml:space="preserve">40</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系统性社会崩溃，城市网络复杂性丧失，制度真空 </w:t>
            </w:r>
            <w:r>
              <w:rPr>
                <w:rFonts w:ascii="Google Sans Text" w:hAnsi="Google Sans Text" w:eastAsia="Google Sans Text" w:cs="Google Sans Text"/>
                <w:sz w:val="24"/>
                <w:szCs w:val="24"/>
                <w:vertAlign w:val="superscript"/>
                <w:rtl w:val="0"/>
              </w:rPr>
              <w:t xml:space="preserve">41</w:t>
            </w:r>
            <w:r>
              <w:rPr>
                <w:rFonts w:ascii="Google Sans Text" w:hAnsi="Google Sans Text" w:eastAsia="Google Sans Text" w:cs="Google Sans Text"/>
                <w:sz w:val="24"/>
                <w:szCs w:val="24"/>
                <w:vertAlign w:val="superscrip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长期衰退，制度和生产力倒退，缓慢的社会重组 </w:t>
            </w:r>
            <w:r>
              <w:rPr>
                <w:rFonts w:ascii="Google Sans Text" w:hAnsi="Google Sans Text" w:eastAsia="Google Sans Text" w:cs="Google Sans Text"/>
                <w:sz w:val="24"/>
                <w:szCs w:val="24"/>
                <w:vertAlign w:val="superscript"/>
                <w:rtl w:val="0"/>
              </w:rPr>
              <w:t xml:space="preserve">42</w:t>
            </w:r>
            <w:r>
              <w:rPr>
                <w:rFonts w:ascii="Google Sans Text" w:hAnsi="Google Sans Text" w:eastAsia="Google Sans Text" w:cs="Google Sans Text"/>
                <w:sz w:val="24"/>
                <w:szCs w:val="24"/>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tl w:val="0"/>
        </w:rPr>
      </w:r>
      <w:r>
        <w:rPr>
          <w:rFonts w:ascii="Google Sans Text" w:hAnsi="Google Sans Text" w:eastAsia="Google Sans Text" w:cs="Google Sans Text"/>
          <w:sz w:val="24"/>
          <w:szCs w:val="24"/>
          <w:vertAlign w:val="superscrip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7.2. 决定积极“飞跃”的三个关键要素</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成功的制度飞跃是灾难与预先存在的条件及灾后选择共同作用的结果。本报告的案例分析揭示了三个决定积极路径的关键要素：</w:t>
      </w:r>
      <w:r>
        <w:rPr>
          <w:rFonts w:ascii="Google Sans Text" w:hAnsi="Google Sans Text" w:eastAsia="Google Sans Text" w:cs="Google Sans Tex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制度和知识资本的存续：</w:t>
      </w:r>
      <w:r>
        <w:rPr>
          <w:rFonts w:ascii="Google Sans Text" w:hAnsi="Google Sans Text" w:eastAsia="Google Sans Text" w:cs="Google Sans Text"/>
          <w:rtl w:val="0"/>
        </w:rPr>
        <w:t xml:space="preserve"> 灾难必须在破坏旧系统的同时，允许足够的技术、组织和知识资本存活下来。例如，IBM在萧条和战争中保留的R&amp;D能力 </w:t>
      </w:r>
      <w:r>
        <w:rPr>
          <w:rFonts w:ascii="Google Sans Text" w:hAnsi="Google Sans Text" w:eastAsia="Google Sans Text" w:cs="Google Sans Text"/>
          <w:sz w:val="24"/>
          <w:szCs w:val="24"/>
          <w:vertAlign w:val="superscript"/>
          <w:rtl w:val="0"/>
        </w:rPr>
        <w:t xml:space="preserve">31</w:t>
      </w:r>
      <w:r>
        <w:rPr>
          <w:rFonts w:ascii="Google Sans Text" w:hAnsi="Google Sans Text" w:eastAsia="Google Sans Text" w:cs="Google Sans Text"/>
          <w:rtl w:val="0"/>
        </w:rPr>
        <w:t xml:space="preserve">，以及意大利城邦保存的古典学问基础 </w:t>
      </w:r>
      <w:r>
        <w:rPr>
          <w:rFonts w:ascii="Google Sans Text" w:hAnsi="Google Sans Text" w:eastAsia="Google Sans Text" w:cs="Google Sans Text"/>
          <w:sz w:val="24"/>
          <w:szCs w:val="24"/>
          <w:vertAlign w:val="superscript"/>
          <w:rtl w:val="0"/>
        </w:rPr>
        <w:t xml:space="preserve">14</w:t>
      </w:r>
      <w:r>
        <w:rPr>
          <w:rFonts w:ascii="Google Sans Text" w:hAnsi="Google Sans Text" w:eastAsia="Google Sans Text" w:cs="Google Sans Text"/>
          <w:rtl w:val="0"/>
        </w:rPr>
        <w:t xml:space="preserve">。三十年战争和罗马帝国的崩溃则破坏了治理的复杂性和财富基础 </w:t>
      </w:r>
      <w:r>
        <w:rPr>
          <w:rFonts w:ascii="Google Sans Text" w:hAnsi="Google Sans Text" w:eastAsia="Google Sans Text" w:cs="Google Sans Text"/>
          <w:sz w:val="24"/>
          <w:szCs w:val="24"/>
          <w:vertAlign w:val="superscript"/>
          <w:rtl w:val="0"/>
        </w:rPr>
        <w:t xml:space="preserve">37</w:t>
      </w:r>
      <w:r>
        <w:rPr>
          <w:rFonts w:ascii="Google Sans Text" w:hAnsi="Google Sans Text" w:eastAsia="Google Sans Text" w:cs="Google Sans Text"/>
          <w:rtl w:val="0"/>
        </w:rPr>
        <w:t xml:space="preserve">。</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权力动态的结构性改变：</w:t>
      </w:r>
      <w:r>
        <w:rPr>
          <w:rFonts w:ascii="Google Sans Text" w:hAnsi="Google Sans Text" w:eastAsia="Google Sans Text" w:cs="Google Sans Text"/>
          <w:rtl w:val="0"/>
        </w:rPr>
        <w:t xml:space="preserve"> 冲击必须导致权力和资源的结构性转移，从而赋予那些倾向于改革或更有效率的群体以更大的影响力。黑死病赋予了劳动力议价权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，而二战则将全球金融霸权集中于美国，使其能够推动多边主义议程 </w:t>
      </w:r>
      <w:r>
        <w:rPr>
          <w:rFonts w:ascii="Google Sans Text" w:hAnsi="Google Sans Text" w:eastAsia="Google Sans Text" w:cs="Google Sans Text"/>
          <w:sz w:val="24"/>
          <w:szCs w:val="24"/>
          <w:vertAlign w:val="superscript"/>
          <w:rtl w:val="0"/>
        </w:rPr>
        <w:t xml:space="preserve">19</w:t>
      </w:r>
      <w:r>
        <w:rPr>
          <w:rFonts w:ascii="Google Sans Text" w:hAnsi="Google Sans Text" w:eastAsia="Google Sans Text" w:cs="Google Sans Text"/>
          <w:rtl w:val="0"/>
        </w:rPr>
        <w:t xml:space="preserve">。</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有力的政治能动性（Political Agency）：</w:t>
      </w:r>
      <w:r>
        <w:rPr>
          <w:rFonts w:ascii="Google Sans Text" w:hAnsi="Google Sans Text" w:eastAsia="Google Sans Text" w:cs="Google Sans Text"/>
          <w:rtl w:val="0"/>
        </w:rPr>
        <w:t xml:space="preserve"> 在关键转折点，必须有统一且有决心的领导力量，能够克服创建新制度的高昂启动成本，并将其“锁定”为新的路径依赖。布雷顿森林会议和欧洲煤钢共同体的创建，都是面对旧秩序的失败，政治精英们有意识地选择牺牲部分短期利益来建立集体安全与合作机制的产物 </w:t>
      </w:r>
      <w:r>
        <w:rPr>
          <w:rFonts w:ascii="Google Sans Text" w:hAnsi="Google Sans Text" w:eastAsia="Google Sans Text" w:cs="Google Sans Text"/>
          <w:sz w:val="24"/>
          <w:szCs w:val="24"/>
          <w:vertAlign w:val="superscript"/>
          <w:rtl w:val="0"/>
        </w:rPr>
        <w:t xml:space="preserve">25</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最终，灾难的真正作用在于，当一个社会或国际体系的旧结构已经高度失衡或低效时，它会强行将其打碎，迫使人们在废墟上进行制度重建。能否建立起更健康、更开明的新文明，取决于原有的知识和制度基础，以及人们在高度不确定性时期所做出的选择，而非灾难本身具有某种神秘的进步力量。</w:t>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ind/>
        <w:rPr>
          <w:rFonts w:ascii="Google Sans" w:hAnsi="Google Sans" w:eastAsia="Google Sans" w:cs="Google Sans"/>
        </w:rPr>
      </w:pPr>
      <w:r>
        <w:rPr>
          <w:rFonts w:ascii="Google Sans" w:hAnsi="Google Sans" w:eastAsia="Google Sans" w:cs="Google Sans"/>
          <w:rtl w:val="0"/>
        </w:rPr>
        <w:t xml:space="preserve">Works cited</w:t>
      </w:r>
      <w:r>
        <w:rPr>
          <w:rFonts w:ascii="Google Sans" w:hAnsi="Google Sans" w:eastAsia="Google Sans" w:cs="Google Sans"/>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Critical juncture theory - Wikipedia, accessed November 19, 2025, </w:t>
      </w:r>
      <w:hyperlink r:id="rId9" w:tooltip="https://en.wikipedia.org/wiki/Critical_juncture_theory" w:history="1">
        <w:r>
          <w:rPr>
            <w:rFonts w:ascii="Google Sans" w:hAnsi="Google Sans" w:eastAsia="Google Sans" w:cs="Google Sans"/>
            <w:color w:val="0000ee"/>
            <w:sz w:val="24"/>
            <w:szCs w:val="24"/>
            <w:u w:val="single"/>
            <w:rtl w:val="0"/>
          </w:rPr>
          <w:t xml:space="preserve">https://en.wikipedia.org/wiki/Critical_juncture_theory</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Critical junctures and institutional change (Chapter 6) - Advances in Comparative-Historical Analysis - Cambridge University Press &amp; Assessment, accessed November 19, 2025, </w:t>
      </w:r>
      <w:hyperlink r:id="rId10" w:tooltip="https://www.cambridge.org/core/books/advances-in-comparativehistorical-analysis/critical-junctures-and-institutional-change/D544FCBA82856F284FAD815109EFF827" w:history="1">
        <w:r>
          <w:rPr>
            <w:rFonts w:ascii="Google Sans" w:hAnsi="Google Sans" w:eastAsia="Google Sans" w:cs="Google Sans"/>
            <w:color w:val="0000ee"/>
            <w:sz w:val="24"/>
            <w:szCs w:val="24"/>
            <w:u w:val="single"/>
            <w:rtl w:val="0"/>
          </w:rPr>
          <w:t xml:space="preserve">https://www.cambridge.org/core/books/advances-in-comparativehistorical-analysis/critical-junctures-and-institutional-change/D544FCBA82856F284FAD815109EFF827</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General equilibrium theory - Wikipedia, accessed November 19, 2025, </w:t>
      </w:r>
      <w:hyperlink r:id="rId11" w:tooltip="https://en.wikipedia.org/wiki/General_equilibrium_theory" w:history="1">
        <w:r>
          <w:rPr>
            <w:rFonts w:ascii="Google Sans" w:hAnsi="Google Sans" w:eastAsia="Google Sans" w:cs="Google Sans"/>
            <w:color w:val="0000ee"/>
            <w:sz w:val="24"/>
            <w:szCs w:val="24"/>
            <w:u w:val="single"/>
            <w:rtl w:val="0"/>
          </w:rPr>
          <w:t xml:space="preserve">https://en.wikipedia.org/wiki/General_equilibrium_theory</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Similarities and Dissimilarities Between Original Institutional Economics and New Institutional Economics - American Economic Association, accessed November 19, 2025, </w:t>
      </w:r>
      <w:hyperlink r:id="rId12" w:tooltip="https://www.aeaweb.org/conference/2019/preliminary/paper/TDsYh8AA" w:history="1">
        <w:r>
          <w:rPr>
            <w:rFonts w:ascii="Google Sans" w:hAnsi="Google Sans" w:eastAsia="Google Sans" w:cs="Google Sans"/>
            <w:color w:val="0000ee"/>
            <w:sz w:val="24"/>
            <w:szCs w:val="24"/>
            <w:u w:val="single"/>
            <w:rtl w:val="0"/>
          </w:rPr>
          <w:t xml:space="preserve">https://www.aeaweb.org/conference/2019/preliminary/paper/TDsYh8AA</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Role of Institutions in Growth and Development - World Bank Document, accessed November 19, 2025, </w:t>
      </w:r>
      <w:hyperlink r:id="rId13" w:tooltip="https://openknowledge.worldbank.org/bitstreams/4d672573-6bbe-5213-a708-0b7604f9552c/download" w:history="1">
        <w:r>
          <w:rPr>
            <w:rFonts w:ascii="Google Sans" w:hAnsi="Google Sans" w:eastAsia="Google Sans" w:cs="Google Sans"/>
            <w:color w:val="0000ee"/>
            <w:sz w:val="24"/>
            <w:szCs w:val="24"/>
            <w:u w:val="single"/>
            <w:rtl w:val="0"/>
          </w:rPr>
          <w:t xml:space="preserve">https://openknowledge.worldbank.org/bitstreams/4d672573-6bbe-5213-a708-0b7604f9552c/download</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Black Death - Wikipedia, accessed November 19, 2025, </w:t>
      </w:r>
      <w:hyperlink r:id="rId14" w:tooltip="https://en.wikipedia.org/wiki/Black_Death" w:history="1">
        <w:r>
          <w:rPr>
            <w:rFonts w:ascii="Google Sans" w:hAnsi="Google Sans" w:eastAsia="Google Sans" w:cs="Google Sans"/>
            <w:color w:val="0000ee"/>
            <w:sz w:val="24"/>
            <w:szCs w:val="24"/>
            <w:u w:val="single"/>
            <w:rtl w:val="0"/>
          </w:rPr>
          <w:t xml:space="preserve">https://en.wikipedia.org/wiki/Black_Death</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Black Death - Smarthistory, accessed November 19, 2025, </w:t>
      </w:r>
      <w:hyperlink r:id="rId15" w:tooltip="https://smarthistory.org/the-black-death/" w:history="1">
        <w:r>
          <w:rPr>
            <w:rFonts w:ascii="Google Sans" w:hAnsi="Google Sans" w:eastAsia="Google Sans" w:cs="Google Sans"/>
            <w:color w:val="0000ee"/>
            <w:sz w:val="24"/>
            <w:szCs w:val="24"/>
            <w:u w:val="single"/>
            <w:rtl w:val="0"/>
          </w:rPr>
          <w:t xml:space="preserve">https://smarthistory.org/the-black-death/</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How the Black Death made life better | Department of History, accessed November 19, 2025, </w:t>
      </w:r>
      <w:hyperlink r:id="rId16" w:tooltip="https://history.wustl.edu/news/how-black-death-made-life-better" w:history="1">
        <w:r>
          <w:rPr>
            <w:rFonts w:ascii="Google Sans" w:hAnsi="Google Sans" w:eastAsia="Google Sans" w:cs="Google Sans"/>
            <w:color w:val="0000ee"/>
            <w:sz w:val="24"/>
            <w:szCs w:val="24"/>
            <w:u w:val="single"/>
            <w:rtl w:val="0"/>
          </w:rPr>
          <w:t xml:space="preserve">https://history.wustl.edu/news/how-black-death-made-life-better</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Economic Impact of the Black Death - The George Washington University, accessed November 19, 2025, </w:t>
      </w:r>
      <w:hyperlink r:id="rId17" w:tooltip="https://www2.gwu.edu/~iiep/assets/docs/papers/2020WP/JedwabIIEP2020-14.pdf" w:history="1">
        <w:r>
          <w:rPr>
            <w:rFonts w:ascii="Google Sans" w:hAnsi="Google Sans" w:eastAsia="Google Sans" w:cs="Google Sans"/>
            <w:color w:val="0000ee"/>
            <w:sz w:val="24"/>
            <w:szCs w:val="24"/>
            <w:u w:val="single"/>
            <w:rtl w:val="0"/>
          </w:rPr>
          <w:t xml:space="preserve">https://www2.gwu.edu/~iiep/assets/docs/papers/2020WP/JedwabIIEP2020-14.pdf</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Economic Impact of the Black Death, accessed November 19, 2025, </w:t>
      </w:r>
      <w:hyperlink r:id="rId18" w:tooltip="https://www.aeaweb.org/articles?id=10.1257/jel.20201639" w:history="1">
        <w:r>
          <w:rPr>
            <w:rFonts w:ascii="Google Sans" w:hAnsi="Google Sans" w:eastAsia="Google Sans" w:cs="Google Sans"/>
            <w:color w:val="0000ee"/>
            <w:sz w:val="24"/>
            <w:szCs w:val="24"/>
            <w:u w:val="single"/>
            <w:rtl w:val="0"/>
          </w:rPr>
          <w:t xml:space="preserve">https://www.aeaweb.org/articles?id=10.1257/jel.20201639</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Economic Impact of the Black Death, accessed November 19, 2025, </w:t>
      </w:r>
      <w:hyperlink r:id="rId19" w:tooltip="https://iiep.gwu.edu/economic-impact-black-death-0" w:history="1">
        <w:r>
          <w:rPr>
            <w:rFonts w:ascii="Google Sans" w:hAnsi="Google Sans" w:eastAsia="Google Sans" w:cs="Google Sans"/>
            <w:color w:val="0000ee"/>
            <w:sz w:val="24"/>
            <w:szCs w:val="24"/>
            <w:u w:val="single"/>
            <w:rtl w:val="0"/>
          </w:rPr>
          <w:t xml:space="preserve">https://iiep.gwu.edu/economic-impact-black-death-0</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economic consequences of plague: lessons for the age of Covid-19 - History &amp; Policy, accessed November 19, 2025, </w:t>
      </w:r>
      <w:hyperlink r:id="rId20" w:tooltip="https://historyandpolicy.org/policy-papers/papers/the-economic-consequences-of-plague-lessons-for-the-age-of-covid-19/" w:history="1">
        <w:r>
          <w:rPr>
            <w:rFonts w:ascii="Google Sans" w:hAnsi="Google Sans" w:eastAsia="Google Sans" w:cs="Google Sans"/>
            <w:color w:val="0000ee"/>
            <w:sz w:val="24"/>
            <w:szCs w:val="24"/>
            <w:u w:val="single"/>
            <w:rtl w:val="0"/>
          </w:rPr>
          <w:t xml:space="preserve">https://historyandpolicy.org/policy-papers/papers/the-economic-consequences-of-plague-lessons-for-the-age-of-covid-19/</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Epidemics, inequality and poverty in preindustrial and early industrial times - The George Washington University, accessed November 19, 2025, </w:t>
      </w:r>
      <w:hyperlink r:id="rId21" w:tooltip="https://www2.gwu.edu/~iiep/assets/docs/papers/2020WP/JedwabIIEP2020-16.pdf" w:history="1">
        <w:r>
          <w:rPr>
            <w:rFonts w:ascii="Google Sans" w:hAnsi="Google Sans" w:eastAsia="Google Sans" w:cs="Google Sans"/>
            <w:color w:val="0000ee"/>
            <w:sz w:val="24"/>
            <w:szCs w:val="24"/>
            <w:u w:val="single"/>
            <w:rtl w:val="0"/>
          </w:rPr>
          <w:t xml:space="preserve">https://www2.gwu.edu/~iiep/assets/docs/papers/2020WP/JedwabIIEP2020-16.pdf</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Renaissance | Definition, Meaning, History, Artists, Art, &amp; Facts | Britannica, accessed November 19, 2025, </w:t>
      </w:r>
      <w:hyperlink r:id="rId22" w:tooltip="https://www.britannica.com/event/Renaissance" w:history="1">
        <w:r>
          <w:rPr>
            <w:rFonts w:ascii="Google Sans" w:hAnsi="Google Sans" w:eastAsia="Google Sans" w:cs="Google Sans"/>
            <w:color w:val="0000ee"/>
            <w:sz w:val="24"/>
            <w:szCs w:val="24"/>
            <w:u w:val="single"/>
            <w:rtl w:val="0"/>
          </w:rPr>
          <w:t xml:space="preserve">https://www.britannica.com/event/Renaissance</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Evolution of Renaissance Classicism - IU Indianapolis ScholarWorks, accessed November 19, 2025, </w:t>
      </w:r>
      <w:hyperlink r:id="rId23" w:tooltip="https://scholarworks.indianapolis.iu.edu/bitstream/handle/1805/7880/The%20Evolution%20of%20Renaissance%20Classicism.pdf;sequence=1" w:history="1">
        <w:r>
          <w:rPr>
            <w:rFonts w:ascii="Google Sans" w:hAnsi="Google Sans" w:eastAsia="Google Sans" w:cs="Google Sans"/>
            <w:color w:val="0000ee"/>
            <w:sz w:val="24"/>
            <w:szCs w:val="24"/>
            <w:u w:val="single"/>
            <w:rtl w:val="0"/>
          </w:rPr>
          <w:t xml:space="preserve">https://scholarworks.indianapolis.iu.edu/bitstream/handle/1805/7880/The%20Evolution%20of%20Renaissance%20Classicism.pdf;sequence=1</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Late Gothic Art and the Black Death | Renaissance Art Class Notes - Fiveable, accessed November 19, 2025, </w:t>
      </w:r>
      <w:hyperlink r:id="rId24" w:tooltip="https://fiveable.me/renaissance-art/unit-2" w:history="1">
        <w:r>
          <w:rPr>
            <w:rFonts w:ascii="Google Sans" w:hAnsi="Google Sans" w:eastAsia="Google Sans" w:cs="Google Sans"/>
            <w:color w:val="0000ee"/>
            <w:sz w:val="24"/>
            <w:szCs w:val="24"/>
            <w:u w:val="single"/>
            <w:rtl w:val="0"/>
          </w:rPr>
          <w:t xml:space="preserve">https://fiveable.me/renaissance-art/unit-2</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power of art during times of plague | Art UK, accessed November 19, 2025, </w:t>
      </w:r>
      <w:hyperlink r:id="rId25" w:tooltip="https://artuk.org/discover/stories/the-power-of-art-during-times-of-plague" w:history="1">
        <w:r>
          <w:rPr>
            <w:rFonts w:ascii="Google Sans" w:hAnsi="Google Sans" w:eastAsia="Google Sans" w:cs="Google Sans"/>
            <w:color w:val="0000ee"/>
            <w:sz w:val="24"/>
            <w:szCs w:val="24"/>
            <w:u w:val="single"/>
            <w:rtl w:val="0"/>
          </w:rPr>
          <w:t xml:space="preserve">https://artuk.org/discover/stories/the-power-of-art-during-times-of-plague</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international monetary context in the post-war period - Research corpora, accessed November 19, 2025, </w:t>
      </w:r>
      <w:hyperlink r:id="rId26" w:tooltip="https://www.cvce.eu/en/collections/unit-content/-/unit/56d70f17-5054-49fc-bb9b-5d90735167d0/549d9c55-3fcc-4671-b908-43e1c1b64efd" w:history="1">
        <w:r>
          <w:rPr>
            <w:rFonts w:ascii="Google Sans" w:hAnsi="Google Sans" w:eastAsia="Google Sans" w:cs="Google Sans"/>
            <w:color w:val="0000ee"/>
            <w:sz w:val="24"/>
            <w:szCs w:val="24"/>
            <w:u w:val="single"/>
            <w:rtl w:val="0"/>
          </w:rPr>
          <w:t xml:space="preserve">https://www.cvce.eu/en/collections/unit-content/-/unit/56d70f17-5054-49fc-bb9b-5d90735167d0/549d9c55-3fcc-4671-b908-43e1c1b64efd</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Bretton Woods system - Wikipedia, accessed November 19, 2025, </w:t>
      </w:r>
      <w:hyperlink r:id="rId27" w:tooltip="https://en.wikipedia.org/wiki/Bretton_Woods_system" w:history="1">
        <w:r>
          <w:rPr>
            <w:rFonts w:ascii="Google Sans" w:hAnsi="Google Sans" w:eastAsia="Google Sans" w:cs="Google Sans"/>
            <w:color w:val="0000ee"/>
            <w:sz w:val="24"/>
            <w:szCs w:val="24"/>
            <w:u w:val="single"/>
            <w:rtl w:val="0"/>
          </w:rPr>
          <w:t xml:space="preserve">https://en.wikipedia.org/wiki/Bretton_Woods_system</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Money Matters, an IMF Exhibit -- The Importance of Global Cooperation, Conflict and Cooperation (1871-1944), Part 6 of 6, accessed November 19, 2025, </w:t>
      </w:r>
      <w:hyperlink r:id="rId28" w:tooltip="https://www.imf.org/external/np/exr/center/mm/eng/cc_sub_4.htm" w:history="1">
        <w:r>
          <w:rPr>
            <w:rFonts w:ascii="Google Sans" w:hAnsi="Google Sans" w:eastAsia="Google Sans" w:cs="Google Sans"/>
            <w:color w:val="0000ee"/>
            <w:sz w:val="24"/>
            <w:szCs w:val="24"/>
            <w:u w:val="single"/>
            <w:rtl w:val="0"/>
          </w:rPr>
          <w:t xml:space="preserve">https://www.imf.org/external/np/exr/center/mm/eng/cc_sub_4.htm</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Bretton Woods Agreement and the Institutions It Created - Investopedia, accessed November 19, 2025, </w:t>
      </w:r>
      <w:hyperlink r:id="rId29" w:tooltip="https://www.investopedia.com/terms/b/brettonwoodsagreement.asp" w:history="1">
        <w:r>
          <w:rPr>
            <w:rFonts w:ascii="Google Sans" w:hAnsi="Google Sans" w:eastAsia="Google Sans" w:cs="Google Sans"/>
            <w:color w:val="0000ee"/>
            <w:sz w:val="24"/>
            <w:szCs w:val="24"/>
            <w:u w:val="single"/>
            <w:rtl w:val="0"/>
          </w:rPr>
          <w:t xml:space="preserve">https://www.investopedia.com/terms/b/brettonwoodsagreement.asp</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Creation of the Bretton Woods System | Federal Reserve History, accessed November 19, 2025, </w:t>
      </w:r>
      <w:hyperlink r:id="rId30" w:tooltip="https://www.federalreservehistory.org/essays/bretton-woods-created" w:history="1">
        <w:r>
          <w:rPr>
            <w:rFonts w:ascii="Google Sans" w:hAnsi="Google Sans" w:eastAsia="Google Sans" w:cs="Google Sans"/>
            <w:color w:val="0000ee"/>
            <w:sz w:val="24"/>
            <w:szCs w:val="24"/>
            <w:u w:val="single"/>
            <w:rtl w:val="0"/>
          </w:rPr>
          <w:t xml:space="preserve">https://www.federalreservehistory.org/essays/bretton-woods-created</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Official documents and sources | Permanent Delegation of the Czech Republic to NATO in Brussels - MZV, accessed November 19, 2025, </w:t>
      </w:r>
      <w:hyperlink r:id="rId31" w:tooltip="https://mzv.gov.cz/nato.brussels/en/nato/official_documents_and_sources/index.html" w:history="1">
        <w:r>
          <w:rPr>
            <w:rFonts w:ascii="Google Sans" w:hAnsi="Google Sans" w:eastAsia="Google Sans" w:cs="Google Sans"/>
            <w:color w:val="0000ee"/>
            <w:sz w:val="24"/>
            <w:szCs w:val="24"/>
            <w:u w:val="single"/>
            <w:rtl w:val="0"/>
          </w:rPr>
          <w:t xml:space="preserve">https://mzv.gov.cz/nato.brussels/en/nato/official_documents_and_sources/index.html</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NATO Treaty; April 4, 1949, accessed November 19, 2025, </w:t>
      </w:r>
      <w:hyperlink r:id="rId32" w:tooltip="https://loveman.sdsu.edu/docs/1949NATOTreaty.pdf" w:history="1">
        <w:r>
          <w:rPr>
            <w:rFonts w:ascii="Google Sans" w:hAnsi="Google Sans" w:eastAsia="Google Sans" w:cs="Google Sans"/>
            <w:color w:val="0000ee"/>
            <w:sz w:val="24"/>
            <w:szCs w:val="24"/>
            <w:u w:val="single"/>
            <w:rtl w:val="0"/>
          </w:rPr>
          <w:t xml:space="preserve">https://loveman.sdsu.edu/docs/1949NATOTreaty.pdf</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Cooperative Security: From Individual Security to International Stability, accessed November 19, 2025, </w:t>
      </w:r>
      <w:hyperlink r:id="rId33" w:tooltip="https://www.marshallcenter.org/en/publications/marshall-center-papers/cooperative-security-new-horizons-international-order/cooperative-security-individual-security-international" w:history="1">
        <w:r>
          <w:rPr>
            <w:rFonts w:ascii="Google Sans" w:hAnsi="Google Sans" w:eastAsia="Google Sans" w:cs="Google Sans"/>
            <w:color w:val="0000ee"/>
            <w:sz w:val="24"/>
            <w:szCs w:val="24"/>
            <w:u w:val="single"/>
            <w:rtl w:val="0"/>
          </w:rPr>
          <w:t xml:space="preserve">https://www.marshallcenter.org/en/publications/marshall-center-papers/cooperative-security-new-horizons-international-order/cooperative-security-individual-security-international</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Schuman Declaration May 1950 | European Union, accessed November 19, 2025, </w:t>
      </w:r>
      <w:hyperlink r:id="rId34" w:tooltip="https://european-union.europa.eu/principles-countries-history/history-eu/1945-59/schuman-declaration-may-1950_en" w:history="1">
        <w:r>
          <w:rPr>
            <w:rFonts w:ascii="Google Sans" w:hAnsi="Google Sans" w:eastAsia="Google Sans" w:cs="Google Sans"/>
            <w:color w:val="0000ee"/>
            <w:sz w:val="24"/>
            <w:szCs w:val="24"/>
            <w:u w:val="single"/>
            <w:rtl w:val="0"/>
          </w:rPr>
          <w:t xml:space="preserve">https://european-union.europa.eu/principles-countries-history/history-eu/1945-59/schuman-declaration-may-1950_en</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European Coal and Steel Community - EU Learning - Carleton University, accessed November 19, 2025, </w:t>
      </w:r>
      <w:hyperlink r:id="rId35" w:tooltip="https://carleton.ca/ces/eulearning/history/moving-to-integration/the-european-coal-and-steel-community/" w:history="1">
        <w:r>
          <w:rPr>
            <w:rFonts w:ascii="Google Sans" w:hAnsi="Google Sans" w:eastAsia="Google Sans" w:cs="Google Sans"/>
            <w:color w:val="0000ee"/>
            <w:sz w:val="24"/>
            <w:szCs w:val="24"/>
            <w:u w:val="single"/>
            <w:rtl w:val="0"/>
          </w:rPr>
          <w:t xml:space="preserve">https://carleton.ca/ces/eulearning/history/moving-to-integration/the-european-coal-and-steel-community/</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Historical Antecedents and Post-World War II Regionalism in the Americas, accessed November 19, 2025, </w:t>
      </w:r>
      <w:hyperlink r:id="rId36" w:tooltip="https://www.cambridge.org/core/journals/world-politics/article/historical-antecedents-and-postworld-war-ii-regionalism-in-the-americas/56015F820E6268AC9F4876A9DFAF9CCE" w:history="1">
        <w:r>
          <w:rPr>
            <w:rFonts w:ascii="Google Sans" w:hAnsi="Google Sans" w:eastAsia="Google Sans" w:cs="Google Sans"/>
            <w:color w:val="0000ee"/>
            <w:sz w:val="24"/>
            <w:szCs w:val="24"/>
            <w:u w:val="single"/>
            <w:rtl w:val="0"/>
          </w:rPr>
          <w:t xml:space="preserve">https://www.cambridge.org/core/journals/world-politics/article/historical-antecedents-and-postworld-war-ii-regionalism-in-the-americas/56015F820E6268AC9F4876A9DFAF9CCE</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INDUSTRIAL POLICY IN EUROPE SINCE THE SECOND WORLD WAR: What Has Been Learnt? - European Centre for International Political Economy, accessed November 19, 2025, </w:t>
      </w:r>
      <w:hyperlink r:id="rId37" w:tooltip="https://ecipe.org/wp-content/uploads/2014/12/OCC12012-revised.pdf" w:history="1">
        <w:r>
          <w:rPr>
            <w:rFonts w:ascii="Google Sans" w:hAnsi="Google Sans" w:eastAsia="Google Sans" w:cs="Google Sans"/>
            <w:color w:val="0000ee"/>
            <w:sz w:val="24"/>
            <w:szCs w:val="24"/>
            <w:u w:val="single"/>
            <w:rtl w:val="0"/>
          </w:rPr>
          <w:t xml:space="preserve">https://ecipe.org/wp-content/uploads/2014/12/OCC12012-revised.pdf</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History of IBM - Wikipedia, accessed November 19, 2025, </w:t>
      </w:r>
      <w:hyperlink r:id="rId38" w:tooltip="https://en.wikipedia.org/wiki/History_of_IBM" w:history="1">
        <w:r>
          <w:rPr>
            <w:rFonts w:ascii="Google Sans" w:hAnsi="Google Sans" w:eastAsia="Google Sans" w:cs="Google Sans"/>
            <w:color w:val="0000ee"/>
            <w:sz w:val="24"/>
            <w:szCs w:val="24"/>
            <w:u w:val="single"/>
            <w:rtl w:val="0"/>
          </w:rPr>
          <w:t xml:space="preserve">https://en.wikipedia.org/wiki/History_of_IBM</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birth of Social Security - IBM, accessed November 19, 2025, </w:t>
      </w:r>
      <w:hyperlink r:id="rId39" w:tooltip="https://www.ibm.com/history/social-security-act" w:history="1">
        <w:r>
          <w:rPr>
            <w:rFonts w:ascii="Google Sans" w:hAnsi="Google Sans" w:eastAsia="Google Sans" w:cs="Google Sans"/>
            <w:color w:val="0000ee"/>
            <w:sz w:val="24"/>
            <w:szCs w:val="24"/>
            <w:u w:val="single"/>
            <w:rtl w:val="0"/>
          </w:rPr>
          <w:t xml:space="preserve">https://www.ibm.com/history/social-security-act</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How IBM Became A Multinational Giant Through Multiple Business Transformations, accessed November 19, 2025, </w:t>
      </w:r>
      <w:hyperlink r:id="rId40" w:tooltip="https://www.cascade.app/studies/how-ibm-became-a-multinational-giant-through-multiple-business-transformations" w:history="1">
        <w:r>
          <w:rPr>
            <w:rFonts w:ascii="Google Sans" w:hAnsi="Google Sans" w:eastAsia="Google Sans" w:cs="Google Sans"/>
            <w:color w:val="0000ee"/>
            <w:sz w:val="24"/>
            <w:szCs w:val="24"/>
            <w:u w:val="single"/>
            <w:rtl w:val="0"/>
          </w:rPr>
          <w:t xml:space="preserve">https://www.cascade.app/studies/how-ibm-became-a-multinational-giant-through-multiple-business-transformations</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75 Years of TOYOTA | Part1 Chapter2 Section6 | Item 3. Converting to Meet Civilian Demand and Dealing with Post-war Reforms, accessed November 19, 2025, </w:t>
      </w:r>
      <w:hyperlink r:id="rId41" w:tooltip="https://www.toyota-global.com/company/history_of_toyota/75years/text/taking_on_the_automotive_business/chapter2/section6/item3.html" w:history="1">
        <w:r>
          <w:rPr>
            <w:rFonts w:ascii="Google Sans" w:hAnsi="Google Sans" w:eastAsia="Google Sans" w:cs="Google Sans"/>
            <w:color w:val="0000ee"/>
            <w:sz w:val="24"/>
            <w:szCs w:val="24"/>
            <w:u w:val="single"/>
            <w:rtl w:val="0"/>
          </w:rPr>
          <w:t xml:space="preserve">https://www.toyota-global.com/company/history_of_toyota/75years/text/taking_on_the_automotive_business/chapter2/section6/item3.html</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Toyota Survives War and Aftermath - Strategos, Inc, accessed November 19, 2025, </w:t>
      </w:r>
      <w:hyperlink r:id="rId42" w:tooltip="https://strategosinc.com/RESOURCES/04-Lean_History/toyota_crises.htm" w:history="1">
        <w:r>
          <w:rPr>
            <w:rFonts w:ascii="Google Sans" w:hAnsi="Google Sans" w:eastAsia="Google Sans" w:cs="Google Sans"/>
            <w:color w:val="0000ee"/>
            <w:sz w:val="24"/>
            <w:szCs w:val="24"/>
            <w:u w:val="single"/>
            <w:rtl w:val="0"/>
          </w:rPr>
          <w:t xml:space="preserve">https://strategosinc.com/RESOURCES/04-Lean_History/toyota_crises.htm</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accessed November 19, 2025, </w:t>
      </w:r>
      <w:hyperlink r:id="rId43" w:tooltip="https://blogs.icrc.org/law-and-policy/2017/05/23/thirty-years-war-first-modern-war/#:~:text=The%20Thirty%20Years'%20War%20is,by%20as%20much%20as%2060%25." w:history="1">
        <w:r>
          <w:rPr>
            <w:rFonts w:ascii="Google Sans" w:hAnsi="Google Sans" w:eastAsia="Google Sans" w:cs="Google Sans"/>
            <w:color w:val="0000ee"/>
            <w:sz w:val="24"/>
            <w:szCs w:val="24"/>
            <w:u w:val="single"/>
            <w:rtl w:val="0"/>
          </w:rPr>
          <w:t xml:space="preserve">https://blogs.icrc.org/law-and-policy/2017/05/23/thirty-years-war-first-modern-war/#:~:text=The%20Thirty%20Years'%20War%20is,by%20as%20much%20as%2060%25.</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Thirty Years' War: The first modern war? - Humanitarian Law &amp; Policy Blog, accessed November 19, 2025, </w:t>
      </w:r>
      <w:hyperlink r:id="rId44" w:tooltip="https://blogs.icrc.org/law-and-policy/2017/05/23/thirty-years-war-first-modern-war/" w:history="1">
        <w:r>
          <w:rPr>
            <w:rFonts w:ascii="Google Sans" w:hAnsi="Google Sans" w:eastAsia="Google Sans" w:cs="Google Sans"/>
            <w:color w:val="0000ee"/>
            <w:sz w:val="24"/>
            <w:szCs w:val="24"/>
            <w:u w:val="single"/>
            <w:rtl w:val="0"/>
          </w:rPr>
          <w:t xml:space="preserve">https://blogs.icrc.org/law-and-policy/2017/05/23/thirty-years-war-first-modern-war/</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Thirty Years' War and the Decline of Urban Germany - Economic History Society, accessed November 19, 2025, </w:t>
      </w:r>
      <w:hyperlink r:id="rId45" w:tooltip="https://files.ehs.org.uk/wp-content/uploads/2024/03/07151204/Gierok_Thirty_Years__War_Working_final.pdf" w:history="1">
        <w:r>
          <w:rPr>
            <w:rFonts w:ascii="Google Sans" w:hAnsi="Google Sans" w:eastAsia="Google Sans" w:cs="Google Sans"/>
            <w:color w:val="0000ee"/>
            <w:sz w:val="24"/>
            <w:szCs w:val="24"/>
            <w:u w:val="single"/>
            <w:rtl w:val="0"/>
          </w:rPr>
          <w:t xml:space="preserve">https://files.ehs.org.uk/wp-content/uploads/2024/03/07151204/Gierok_Thirty_Years__War_Working_final.pdf</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When 'The State Made War', what Happened to Economic Inequality? Evidence from Preindustrial Germany (c.1400-1800), accessed November 19, 2025, </w:t>
      </w:r>
      <w:hyperlink r:id="rId46" w:tooltip="https://eprints.lse.ac.uk/107046/2/WP311.pdf" w:history="1">
        <w:r>
          <w:rPr>
            <w:rFonts w:ascii="Google Sans" w:hAnsi="Google Sans" w:eastAsia="Google Sans" w:cs="Google Sans"/>
            <w:color w:val="0000ee"/>
            <w:sz w:val="24"/>
            <w:szCs w:val="24"/>
            <w:u w:val="single"/>
            <w:rtl w:val="0"/>
          </w:rPr>
          <w:t xml:space="preserve">https://eprints.lse.ac.uk/107046/2/WP311.pdf</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Thirty Years' War | Summary, Causes, Combatants, Map, &amp; Significance | Britannica, accessed November 19, 2025, </w:t>
      </w:r>
      <w:hyperlink r:id="rId47" w:tooltip="https://www.britannica.com/event/Thirty-Years-War" w:history="1">
        <w:r>
          <w:rPr>
            <w:rFonts w:ascii="Google Sans" w:hAnsi="Google Sans" w:eastAsia="Google Sans" w:cs="Google Sans"/>
            <w:color w:val="0000ee"/>
            <w:sz w:val="24"/>
            <w:szCs w:val="24"/>
            <w:u w:val="single"/>
            <w:rtl w:val="0"/>
          </w:rPr>
          <w:t xml:space="preserve">https://www.britannica.com/event/Thirty-Years-War</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Fall of the Western Roman Empire - Wikipedia, accessed November 19, 2025, </w:t>
      </w:r>
      <w:hyperlink r:id="rId48" w:tooltip="https://en.wikipedia.org/wiki/Fall_of_the_Western_Roman_Empire" w:history="1">
        <w:r>
          <w:rPr>
            <w:rFonts w:ascii="Google Sans" w:hAnsi="Google Sans" w:eastAsia="Google Sans" w:cs="Google Sans"/>
            <w:color w:val="0000ee"/>
            <w:sz w:val="24"/>
            <w:szCs w:val="24"/>
            <w:u w:val="single"/>
            <w:rtl w:val="0"/>
          </w:rPr>
          <w:t xml:space="preserve">https://en.wikipedia.org/wiki/Fall_of_the_Western_Roman_Empire</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Societal collapse - Wikipedia, accessed November 19, 2025, </w:t>
      </w:r>
      <w:hyperlink r:id="rId49" w:tooltip="https://en.wikipedia.org/wiki/Societal_collapse" w:history="1">
        <w:r>
          <w:rPr>
            <w:rFonts w:ascii="Google Sans" w:hAnsi="Google Sans" w:eastAsia="Google Sans" w:cs="Google Sans"/>
            <w:color w:val="0000ee"/>
            <w:sz w:val="24"/>
            <w:szCs w:val="24"/>
            <w:u w:val="single"/>
            <w:rtl w:val="0"/>
          </w:rPr>
          <w:t xml:space="preserve">https://en.wikipedia.org/wiki/Societal_collapse</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Early Middle Ages - Wikipedia, accessed November 19, 2025, </w:t>
      </w:r>
      <w:hyperlink r:id="rId50" w:tooltip="https://en.wikipedia.org/wiki/Early_Middle_Ages" w:history="1">
        <w:r>
          <w:rPr>
            <w:rFonts w:ascii="Google Sans" w:hAnsi="Google Sans" w:eastAsia="Google Sans" w:cs="Google Sans"/>
            <w:color w:val="0000ee"/>
            <w:sz w:val="24"/>
            <w:szCs w:val="24"/>
            <w:u w:val="single"/>
            <w:rtl w:val="0"/>
          </w:rPr>
          <w:t xml:space="preserve">https://en.wikipedia.org/wiki/Early_Middle_Ages</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Britain's economy boomed after the Romans, Aldborough study reveals, accessed November 19, 2025, </w:t>
      </w:r>
      <w:hyperlink r:id="rId51" w:tooltip="https://www.cam.ac.uk/research/news/britains-economy-boomed-after-the-romans-aldborough-study-reveals" w:history="1">
        <w:r>
          <w:rPr>
            <w:rFonts w:ascii="Google Sans" w:hAnsi="Google Sans" w:eastAsia="Google Sans" w:cs="Google Sans"/>
            <w:color w:val="0000ee"/>
            <w:sz w:val="24"/>
            <w:szCs w:val="24"/>
            <w:u w:val="single"/>
            <w:rtl w:val="0"/>
          </w:rPr>
          <w:t xml:space="preserve">https://www.cam.ac.uk/research/news/britains-economy-boomed-after-the-romans-aldborough-study-reveals</w:t>
        </w:r>
      </w:hyperlink>
      <w:r>
        <w:rPr>
          <w:rtl w:val="0"/>
        </w:rPr>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New study shows Britain's economy did not collapse after the Romans left, accessed November 19, 2025, </w:t>
      </w:r>
      <w:hyperlink r:id="rId52" w:tooltip="https://archaeologymag.com/2025/09/britain-economy-thrived-after-the-romans-left/" w:history="1">
        <w:r>
          <w:rPr>
            <w:rFonts w:ascii="Google Sans" w:hAnsi="Google Sans" w:eastAsia="Google Sans" w:cs="Google Sans"/>
            <w:color w:val="0000ee"/>
            <w:sz w:val="24"/>
            <w:szCs w:val="24"/>
            <w:u w:val="single"/>
            <w:rtl w:val="0"/>
          </w:rPr>
          <w:t xml:space="preserve">https://archaeologymag.com/2025/09/britain-economy-thrived-after-the-romans-left/</w:t>
        </w:r>
      </w:hyperlink>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5">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82"/>
    <w:next w:val="68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82"/>
    <w:next w:val="68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82"/>
    <w:next w:val="68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83"/>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84"/>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85"/>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86"/>
    <w:uiPriority w:val="9"/>
    <w:pPr>
      <w:pBdr/>
      <w:spacing/>
      <w:ind/>
    </w:pPr>
    <w:rPr>
      <w:rFonts w:ascii="Arial" w:hAnsi="Arial" w:eastAsia="Arial" w:cs="Arial"/>
      <w:i/>
      <w:iCs/>
      <w:color w:val="0f4761" w:themeColor="accent1" w:themeShade="BF"/>
    </w:rPr>
  </w:style>
  <w:style w:type="character" w:styleId="154">
    <w:name w:val="Heading 5 Char"/>
    <w:basedOn w:val="148"/>
    <w:link w:val="687"/>
    <w:uiPriority w:val="9"/>
    <w:pPr>
      <w:pBdr/>
      <w:spacing/>
      <w:ind/>
    </w:pPr>
    <w:rPr>
      <w:rFonts w:ascii="Arial" w:hAnsi="Arial" w:eastAsia="Arial" w:cs="Arial"/>
      <w:color w:val="0f4761" w:themeColor="accent1" w:themeShade="BF"/>
    </w:rPr>
  </w:style>
  <w:style w:type="character" w:styleId="155">
    <w:name w:val="Heading 6 Char"/>
    <w:basedOn w:val="148"/>
    <w:link w:val="688"/>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89"/>
    <w:uiPriority w:val="10"/>
    <w:pPr>
      <w:pBdr/>
      <w:spacing/>
      <w:ind/>
    </w:pPr>
    <w:rPr>
      <w:rFonts w:ascii="Arial" w:hAnsi="Arial" w:eastAsia="Arial" w:cs="Arial"/>
      <w:spacing w:val="-10"/>
      <w:sz w:val="56"/>
      <w:szCs w:val="56"/>
    </w:rPr>
  </w:style>
  <w:style w:type="character" w:styleId="162">
    <w:name w:val="Subtitle Char"/>
    <w:basedOn w:val="148"/>
    <w:link w:val="690"/>
    <w:uiPriority w:val="11"/>
    <w:pPr>
      <w:pBdr/>
      <w:spacing/>
      <w:ind/>
    </w:pPr>
    <w:rPr>
      <w:color w:val="595959" w:themeColor="text1" w:themeTint="A6"/>
      <w:spacing w:val="15"/>
      <w:sz w:val="28"/>
      <w:szCs w:val="28"/>
    </w:rPr>
  </w:style>
  <w:style w:type="paragraph" w:styleId="163">
    <w:name w:val="Quote"/>
    <w:basedOn w:val="682"/>
    <w:next w:val="682"/>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82"/>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82"/>
    <w:next w:val="68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82"/>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82"/>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82"/>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82"/>
    <w:next w:val="682"/>
    <w:uiPriority w:val="35"/>
    <w:unhideWhenUsed/>
    <w:qFormat/>
    <w:pPr>
      <w:pBdr/>
      <w:spacing w:after="200" w:line="240" w:lineRule="auto"/>
      <w:ind/>
    </w:pPr>
    <w:rPr>
      <w:i/>
      <w:iCs/>
      <w:color w:val="0e2841" w:themeColor="text2"/>
      <w:sz w:val="18"/>
      <w:szCs w:val="18"/>
    </w:rPr>
  </w:style>
  <w:style w:type="paragraph" w:styleId="181">
    <w:name w:val="footnote text"/>
    <w:basedOn w:val="682"/>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82"/>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82"/>
    <w:next w:val="682"/>
    <w:uiPriority w:val="39"/>
    <w:unhideWhenUsed/>
    <w:pPr>
      <w:pBdr/>
      <w:spacing w:after="100"/>
      <w:ind/>
    </w:pPr>
  </w:style>
  <w:style w:type="paragraph" w:styleId="190">
    <w:name w:val="toc 2"/>
    <w:basedOn w:val="682"/>
    <w:next w:val="682"/>
    <w:uiPriority w:val="39"/>
    <w:unhideWhenUsed/>
    <w:pPr>
      <w:pBdr/>
      <w:spacing w:after="100"/>
      <w:ind w:left="220"/>
    </w:pPr>
  </w:style>
  <w:style w:type="paragraph" w:styleId="191">
    <w:name w:val="toc 3"/>
    <w:basedOn w:val="682"/>
    <w:next w:val="682"/>
    <w:uiPriority w:val="39"/>
    <w:unhideWhenUsed/>
    <w:pPr>
      <w:pBdr/>
      <w:spacing w:after="100"/>
      <w:ind w:left="440"/>
    </w:pPr>
  </w:style>
  <w:style w:type="paragraph" w:styleId="192">
    <w:name w:val="toc 4"/>
    <w:basedOn w:val="682"/>
    <w:next w:val="682"/>
    <w:uiPriority w:val="39"/>
    <w:unhideWhenUsed/>
    <w:pPr>
      <w:pBdr/>
      <w:spacing w:after="100"/>
      <w:ind w:left="660"/>
    </w:pPr>
  </w:style>
  <w:style w:type="paragraph" w:styleId="193">
    <w:name w:val="toc 5"/>
    <w:basedOn w:val="682"/>
    <w:next w:val="682"/>
    <w:uiPriority w:val="39"/>
    <w:unhideWhenUsed/>
    <w:pPr>
      <w:pBdr/>
      <w:spacing w:after="100"/>
      <w:ind w:left="880"/>
    </w:pPr>
  </w:style>
  <w:style w:type="paragraph" w:styleId="194">
    <w:name w:val="toc 6"/>
    <w:basedOn w:val="682"/>
    <w:next w:val="682"/>
    <w:uiPriority w:val="39"/>
    <w:unhideWhenUsed/>
    <w:pPr>
      <w:pBdr/>
      <w:spacing w:after="100"/>
      <w:ind w:left="1100"/>
    </w:pPr>
  </w:style>
  <w:style w:type="paragraph" w:styleId="195">
    <w:name w:val="toc 7"/>
    <w:basedOn w:val="682"/>
    <w:next w:val="682"/>
    <w:uiPriority w:val="39"/>
    <w:unhideWhenUsed/>
    <w:pPr>
      <w:pBdr/>
      <w:spacing w:after="100"/>
      <w:ind w:left="1320"/>
    </w:pPr>
  </w:style>
  <w:style w:type="paragraph" w:styleId="196">
    <w:name w:val="toc 8"/>
    <w:basedOn w:val="682"/>
    <w:next w:val="682"/>
    <w:uiPriority w:val="39"/>
    <w:unhideWhenUsed/>
    <w:pPr>
      <w:pBdr/>
      <w:spacing w:after="100"/>
      <w:ind w:left="1540"/>
    </w:pPr>
  </w:style>
  <w:style w:type="paragraph" w:styleId="197">
    <w:name w:val="toc 9"/>
    <w:basedOn w:val="682"/>
    <w:next w:val="682"/>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82"/>
    <w:next w:val="682"/>
    <w:uiPriority w:val="99"/>
    <w:unhideWhenUsed/>
    <w:pPr>
      <w:pBdr/>
      <w:spacing w:after="0" w:afterAutospacing="0"/>
      <w:ind/>
    </w:pPr>
  </w:style>
  <w:style w:type="table" w:styleId="68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2" w:default="1">
    <w:name w:val="Normal"/>
    <w:pPr>
      <w:pBdr/>
      <w:spacing/>
      <w:ind/>
    </w:pPr>
  </w:style>
  <w:style w:type="paragraph" w:styleId="683">
    <w:name w:val="Heading 1"/>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684">
    <w:name w:val="Heading 2"/>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685">
    <w:name w:val="Heading 3"/>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686">
    <w:name w:val="Heading 4"/>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687">
    <w:name w:val="Heading 5"/>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688">
    <w:name w:val="Heading 6"/>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689">
    <w:name w:val="Title"/>
    <w:basedOn w:val="682"/>
    <w:next w:val="682"/>
    <w:pPr>
      <w:keepNext w:val="true"/>
      <w:keepLines w:val="true"/>
      <w:pageBreakBefore w:val="false"/>
      <w:pBdr/>
      <w:spacing w:after="120" w:before="480"/>
      <w:ind/>
    </w:pPr>
    <w:rPr>
      <w:b/>
      <w:bCs/>
      <w:sz w:val="72"/>
      <w:szCs w:val="72"/>
    </w:rPr>
  </w:style>
  <w:style w:type="paragraph" w:styleId="690">
    <w:name w:val="Subtitle"/>
    <w:basedOn w:val="682"/>
    <w:next w:val="682"/>
    <w:pPr>
      <w:keepNext w:val="true"/>
      <w:keepLines w:val="true"/>
      <w:pageBreakBefore w:val="false"/>
      <w:pBdr/>
      <w:spacing w:after="80" w:before="360"/>
      <w:ind/>
    </w:pPr>
    <w:rPr>
      <w:rFonts w:ascii="Georgia" w:hAnsi="Georgia" w:eastAsia="Georgia" w:cs="Georgia"/>
      <w:i/>
      <w:iCs/>
      <w:color w:val="666666"/>
      <w:sz w:val="48"/>
      <w:szCs w:val="48"/>
    </w:rPr>
  </w:style>
  <w:style w:type="table" w:styleId="691">
    <w:name w:val="StGen0"/>
    <w:basedOn w:val="6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en.wikipedia.org/wiki/Critical_juncture_theory" TargetMode="External"/><Relationship Id="rId10" Type="http://schemas.openxmlformats.org/officeDocument/2006/relationships/hyperlink" Target="https://www.cambridge.org/core/books/advances-in-comparativehistorical-analysis/critical-junctures-and-institutional-change/D544FCBA82856F284FAD815109EFF827" TargetMode="External"/><Relationship Id="rId11" Type="http://schemas.openxmlformats.org/officeDocument/2006/relationships/hyperlink" Target="https://en.wikipedia.org/wiki/General_equilibrium_theory" TargetMode="External"/><Relationship Id="rId12" Type="http://schemas.openxmlformats.org/officeDocument/2006/relationships/hyperlink" Target="https://www.aeaweb.org/conference/2019/preliminary/paper/TDsYh8AA" TargetMode="External"/><Relationship Id="rId13" Type="http://schemas.openxmlformats.org/officeDocument/2006/relationships/hyperlink" Target="https://openknowledge.worldbank.org/bitstreams/4d672573-6bbe-5213-a708-0b7604f9552c/download" TargetMode="External"/><Relationship Id="rId14" Type="http://schemas.openxmlformats.org/officeDocument/2006/relationships/hyperlink" Target="https://en.wikipedia.org/wiki/Black_Death" TargetMode="External"/><Relationship Id="rId15" Type="http://schemas.openxmlformats.org/officeDocument/2006/relationships/hyperlink" Target="https://smarthistory.org/the-black-death/" TargetMode="External"/><Relationship Id="rId16" Type="http://schemas.openxmlformats.org/officeDocument/2006/relationships/hyperlink" Target="https://history.wustl.edu/news/how-black-death-made-life-better" TargetMode="External"/><Relationship Id="rId17" Type="http://schemas.openxmlformats.org/officeDocument/2006/relationships/hyperlink" Target="https://www2.gwu.edu/~iiep/assets/docs/papers/2020WP/JedwabIIEP2020-14.pdf" TargetMode="External"/><Relationship Id="rId18" Type="http://schemas.openxmlformats.org/officeDocument/2006/relationships/hyperlink" Target="https://www.aeaweb.org/articles?id=10.1257/jel.20201639" TargetMode="External"/><Relationship Id="rId19" Type="http://schemas.openxmlformats.org/officeDocument/2006/relationships/hyperlink" Target="https://iiep.gwu.edu/economic-impact-black-death-0" TargetMode="External"/><Relationship Id="rId20" Type="http://schemas.openxmlformats.org/officeDocument/2006/relationships/hyperlink" Target="https://historyandpolicy.org/policy-papers/papers/the-economic-consequences-of-plague-lessons-for-the-age-of-covid-19/" TargetMode="External"/><Relationship Id="rId21" Type="http://schemas.openxmlformats.org/officeDocument/2006/relationships/hyperlink" Target="https://www2.gwu.edu/~iiep/assets/docs/papers/2020WP/JedwabIIEP2020-16.pdf" TargetMode="External"/><Relationship Id="rId22" Type="http://schemas.openxmlformats.org/officeDocument/2006/relationships/hyperlink" Target="https://www.britannica.com/event/Renaissance" TargetMode="External"/><Relationship Id="rId23" Type="http://schemas.openxmlformats.org/officeDocument/2006/relationships/hyperlink" Target="https://scholarworks.indianapolis.iu.edu/bitstream/handle/1805/7880/The%20Evolution%20of%20Renaissance%20Classicism.pdf;sequence=1" TargetMode="External"/><Relationship Id="rId24" Type="http://schemas.openxmlformats.org/officeDocument/2006/relationships/hyperlink" Target="https://fiveable.me/renaissance-art/unit-2" TargetMode="External"/><Relationship Id="rId25" Type="http://schemas.openxmlformats.org/officeDocument/2006/relationships/hyperlink" Target="https://artuk.org/discover/stories/the-power-of-art-during-times-of-plague" TargetMode="External"/><Relationship Id="rId26" Type="http://schemas.openxmlformats.org/officeDocument/2006/relationships/hyperlink" Target="https://www.cvce.eu/en/collections/unit-content/-/unit/56d70f17-5054-49fc-bb9b-5d90735167d0/549d9c55-3fcc-4671-b908-43e1c1b64efd" TargetMode="External"/><Relationship Id="rId27" Type="http://schemas.openxmlformats.org/officeDocument/2006/relationships/hyperlink" Target="https://en.wikipedia.org/wiki/Bretton_Woods_system" TargetMode="External"/><Relationship Id="rId28" Type="http://schemas.openxmlformats.org/officeDocument/2006/relationships/hyperlink" Target="https://www.imf.org/external/np/exr/center/mm/eng/cc_sub_4.htm" TargetMode="External"/><Relationship Id="rId29" Type="http://schemas.openxmlformats.org/officeDocument/2006/relationships/hyperlink" Target="https://www.investopedia.com/terms/b/brettonwoodsagreement.asp" TargetMode="External"/><Relationship Id="rId30" Type="http://schemas.openxmlformats.org/officeDocument/2006/relationships/hyperlink" Target="https://www.federalreservehistory.org/essays/bretton-woods-created" TargetMode="External"/><Relationship Id="rId31" Type="http://schemas.openxmlformats.org/officeDocument/2006/relationships/hyperlink" Target="https://mzv.gov.cz/nato.brussels/en/nato/official_documents_and_sources/index.html" TargetMode="External"/><Relationship Id="rId32" Type="http://schemas.openxmlformats.org/officeDocument/2006/relationships/hyperlink" Target="https://loveman.sdsu.edu/docs/1949NATOTreaty.pdf" TargetMode="External"/><Relationship Id="rId33" Type="http://schemas.openxmlformats.org/officeDocument/2006/relationships/hyperlink" Target="https://www.marshallcenter.org/en/publications/marshall-center-papers/cooperative-security-new-horizons-international-order/cooperative-security-individual-security-international" TargetMode="External"/><Relationship Id="rId34" Type="http://schemas.openxmlformats.org/officeDocument/2006/relationships/hyperlink" Target="https://european-union.europa.eu/principles-countries-history/history-eu/1945-59/schuman-declaration-may-1950_en" TargetMode="External"/><Relationship Id="rId35" Type="http://schemas.openxmlformats.org/officeDocument/2006/relationships/hyperlink" Target="https://carleton.ca/ces/eulearning/history/moving-to-integration/the-european-coal-and-steel-community/" TargetMode="External"/><Relationship Id="rId36" Type="http://schemas.openxmlformats.org/officeDocument/2006/relationships/hyperlink" Target="https://www.cambridge.org/core/journals/world-politics/article/historical-antecedents-and-postworld-war-ii-regionalism-in-the-americas/56015F820E6268AC9F4876A9DFAF9CCE" TargetMode="External"/><Relationship Id="rId37" Type="http://schemas.openxmlformats.org/officeDocument/2006/relationships/hyperlink" Target="https://ecipe.org/wp-content/uploads/2014/12/OCC12012-revised.pdf" TargetMode="External"/><Relationship Id="rId38" Type="http://schemas.openxmlformats.org/officeDocument/2006/relationships/hyperlink" Target="https://en.wikipedia.org/wiki/History_of_IBM" TargetMode="External"/><Relationship Id="rId39" Type="http://schemas.openxmlformats.org/officeDocument/2006/relationships/hyperlink" Target="https://www.ibm.com/history/social-security-act" TargetMode="External"/><Relationship Id="rId40" Type="http://schemas.openxmlformats.org/officeDocument/2006/relationships/hyperlink" Target="https://www.cascade.app/studies/how-ibm-became-a-multinational-giant-through-multiple-business-transformations" TargetMode="External"/><Relationship Id="rId41" Type="http://schemas.openxmlformats.org/officeDocument/2006/relationships/hyperlink" Target="https://www.toyota-global.com/company/history_of_toyota/75years/text/taking_on_the_automotive_business/chapter2/section6/item3.html" TargetMode="External"/><Relationship Id="rId42" Type="http://schemas.openxmlformats.org/officeDocument/2006/relationships/hyperlink" Target="https://strategosinc.com/RESOURCES/04-Lean_History/toyota_crises.htm" TargetMode="External"/><Relationship Id="rId43" Type="http://schemas.openxmlformats.org/officeDocument/2006/relationships/hyperlink" Target="https://blogs.icrc.org/law-and-policy/2017/05/23/thirty-years-war-first-modern-war/#:~:text=The%20Thirty%20Years&apos;%20War%20is,by%20as%20much%20as%2060%25." TargetMode="External"/><Relationship Id="rId44" Type="http://schemas.openxmlformats.org/officeDocument/2006/relationships/hyperlink" Target="https://blogs.icrc.org/law-and-policy/2017/05/23/thirty-years-war-first-modern-war/" TargetMode="External"/><Relationship Id="rId45" Type="http://schemas.openxmlformats.org/officeDocument/2006/relationships/hyperlink" Target="https://files.ehs.org.uk/wp-content/uploads/2024/03/07151204/Gierok_Thirty_Years__War_Working_final.pdf" TargetMode="External"/><Relationship Id="rId46" Type="http://schemas.openxmlformats.org/officeDocument/2006/relationships/hyperlink" Target="https://eprints.lse.ac.uk/107046/2/WP311.pdf" TargetMode="External"/><Relationship Id="rId47" Type="http://schemas.openxmlformats.org/officeDocument/2006/relationships/hyperlink" Target="https://www.britannica.com/event/Thirty-Years-War" TargetMode="External"/><Relationship Id="rId48" Type="http://schemas.openxmlformats.org/officeDocument/2006/relationships/hyperlink" Target="https://en.wikipedia.org/wiki/Fall_of_the_Western_Roman_Empire" TargetMode="External"/><Relationship Id="rId49" Type="http://schemas.openxmlformats.org/officeDocument/2006/relationships/hyperlink" Target="https://en.wikipedia.org/wiki/Societal_collapse" TargetMode="External"/><Relationship Id="rId50" Type="http://schemas.openxmlformats.org/officeDocument/2006/relationships/hyperlink" Target="https://en.wikipedia.org/wiki/Early_Middle_Ages" TargetMode="External"/><Relationship Id="rId51" Type="http://schemas.openxmlformats.org/officeDocument/2006/relationships/hyperlink" Target="https://www.cam.ac.uk/research/news/britains-economy-boomed-after-the-romans-aldborough-study-reveals" TargetMode="External"/><Relationship Id="rId52" Type="http://schemas.openxmlformats.org/officeDocument/2006/relationships/hyperlink" Target="https://archaeologymag.com/2025/09/britain-economy-thrived-after-the-romans-lef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